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42" w:rsidRDefault="00124742" w:rsidP="00124742">
      <w:pPr>
        <w:pStyle w:val="11"/>
        <w:jc w:val="center"/>
        <w:rPr>
          <w:color w:val="FF3300"/>
        </w:rPr>
      </w:pPr>
      <w:r>
        <w:rPr>
          <w:rStyle w:val="a3"/>
          <w:color w:val="FF3300"/>
        </w:rPr>
        <w:t>СООБЩЕНИЕ</w:t>
      </w:r>
      <w:r>
        <w:rPr>
          <w:color w:val="FF3300"/>
        </w:rPr>
        <w:br/>
      </w:r>
      <w:r>
        <w:rPr>
          <w:rStyle w:val="a3"/>
          <w:color w:val="FF3300"/>
        </w:rPr>
        <w:t>о раскрытии информации субъектами оптового и розничного рынков электрической энергии</w:t>
      </w:r>
    </w:p>
    <w:p w:rsidR="009E466D" w:rsidRDefault="00124742" w:rsidP="00124742">
      <w:pPr>
        <w:pStyle w:val="a4"/>
        <w:jc w:val="both"/>
        <w:rPr>
          <w:rStyle w:val="a3"/>
          <w:color w:val="333333"/>
        </w:rPr>
      </w:pPr>
      <w:r>
        <w:rPr>
          <w:rStyle w:val="a3"/>
          <w:color w:val="333333"/>
        </w:rPr>
        <w:t xml:space="preserve">Полное наименование: </w:t>
      </w:r>
    </w:p>
    <w:p w:rsidR="004A3AC4" w:rsidRPr="004A3AC4" w:rsidRDefault="004A3AC4" w:rsidP="004A3AC4">
      <w:pPr>
        <w:widowControl w:val="0"/>
        <w:autoSpaceDE w:val="0"/>
        <w:autoSpaceDN w:val="0"/>
        <w:adjustRightInd w:val="0"/>
        <w:spacing w:before="40"/>
        <w:rPr>
          <w:b/>
        </w:rPr>
      </w:pPr>
      <w:r w:rsidRPr="004A3AC4">
        <w:rPr>
          <w:b/>
          <w:bCs/>
          <w:iCs/>
        </w:rPr>
        <w:t>Акционерное Общество «</w:t>
      </w:r>
      <w:proofErr w:type="spellStart"/>
      <w:r w:rsidRPr="004A3AC4">
        <w:rPr>
          <w:b/>
          <w:bCs/>
          <w:iCs/>
        </w:rPr>
        <w:t>Татнефтепром-Зюзеевнефть</w:t>
      </w:r>
      <w:proofErr w:type="spellEnd"/>
      <w:r w:rsidRPr="004A3AC4">
        <w:rPr>
          <w:b/>
          <w:bCs/>
          <w:iCs/>
        </w:rPr>
        <w:t>»</w:t>
      </w:r>
    </w:p>
    <w:p w:rsidR="004A3AC4" w:rsidRDefault="00124742" w:rsidP="00124742">
      <w:pPr>
        <w:pStyle w:val="a4"/>
        <w:jc w:val="both"/>
        <w:rPr>
          <w:color w:val="333333"/>
        </w:rPr>
      </w:pPr>
      <w:r>
        <w:rPr>
          <w:color w:val="333333"/>
        </w:rPr>
        <w:t>Сокра</w:t>
      </w:r>
      <w:r w:rsidR="004A3AC4">
        <w:rPr>
          <w:color w:val="333333"/>
        </w:rPr>
        <w:t>щенное наименование: АО «</w:t>
      </w:r>
      <w:proofErr w:type="spellStart"/>
      <w:r w:rsidR="004A3AC4">
        <w:rPr>
          <w:color w:val="333333"/>
        </w:rPr>
        <w:t>Татнефтепром-Зюзеевнефть</w:t>
      </w:r>
      <w:proofErr w:type="spellEnd"/>
      <w:r w:rsidR="00DF5F9F">
        <w:rPr>
          <w:color w:val="333333"/>
        </w:rPr>
        <w:t xml:space="preserve">» </w:t>
      </w:r>
    </w:p>
    <w:p w:rsidR="004A3AC4" w:rsidRDefault="00124742" w:rsidP="00124742">
      <w:pPr>
        <w:pStyle w:val="a4"/>
        <w:jc w:val="both"/>
      </w:pPr>
      <w:r>
        <w:rPr>
          <w:color w:val="333333"/>
        </w:rPr>
        <w:t>Место нахождения:</w:t>
      </w:r>
      <w:r w:rsidR="004A3AC4">
        <w:rPr>
          <w:color w:val="333333"/>
        </w:rPr>
        <w:t xml:space="preserve"> </w:t>
      </w:r>
      <w:proofErr w:type="spellStart"/>
      <w:r w:rsidR="004A3AC4">
        <w:t>с.Мамыково</w:t>
      </w:r>
      <w:proofErr w:type="spellEnd"/>
      <w:r w:rsidR="004A3AC4">
        <w:t xml:space="preserve">, </w:t>
      </w:r>
      <w:proofErr w:type="spellStart"/>
      <w:r w:rsidR="004A3AC4">
        <w:t>Нурлатский</w:t>
      </w:r>
      <w:proofErr w:type="spellEnd"/>
      <w:r w:rsidR="004A3AC4">
        <w:t xml:space="preserve"> район, Республика Татарстан</w:t>
      </w:r>
    </w:p>
    <w:p w:rsidR="00124742" w:rsidRPr="004A3AC4" w:rsidRDefault="00124742" w:rsidP="00124742">
      <w:pPr>
        <w:pStyle w:val="a4"/>
        <w:jc w:val="both"/>
        <w:rPr>
          <w:color w:val="333333"/>
        </w:rPr>
      </w:pPr>
      <w:r>
        <w:rPr>
          <w:color w:val="333333"/>
        </w:rPr>
        <w:t xml:space="preserve">ОГРН </w:t>
      </w:r>
      <w:r w:rsidR="004A3AC4" w:rsidRPr="004A3AC4">
        <w:rPr>
          <w:rStyle w:val="SUBST"/>
          <w:sz w:val="24"/>
        </w:rPr>
        <w:t>1021605355551</w:t>
      </w:r>
      <w:r w:rsidRPr="004A3AC4">
        <w:rPr>
          <w:b/>
          <w:i/>
          <w:color w:val="333333"/>
        </w:rPr>
        <w:t> </w:t>
      </w:r>
      <w:r>
        <w:rPr>
          <w:color w:val="333333"/>
        </w:rPr>
        <w:t xml:space="preserve">ИНН </w:t>
      </w:r>
      <w:r w:rsidR="004A3AC4" w:rsidRPr="004A3AC4">
        <w:rPr>
          <w:rStyle w:val="SUBST"/>
          <w:bCs/>
          <w:iCs/>
          <w:sz w:val="24"/>
        </w:rPr>
        <w:t>1632004033</w:t>
      </w:r>
    </w:p>
    <w:p w:rsidR="00124742" w:rsidRDefault="0072405E" w:rsidP="00124742">
      <w:pPr>
        <w:pStyle w:val="a4"/>
        <w:jc w:val="both"/>
        <w:rPr>
          <w:color w:val="333333"/>
        </w:rPr>
      </w:pPr>
      <w:r>
        <w:rPr>
          <w:color w:val="333333"/>
        </w:rPr>
        <w:t xml:space="preserve">В соответствии со </w:t>
      </w:r>
      <w:r w:rsidR="00124742">
        <w:rPr>
          <w:color w:val="333333"/>
        </w:rPr>
        <w:t>«Стандартами раскрытия информации субъектами оптового и розничного рынков электрической энергии», утвержденными Постановлением Правител</w:t>
      </w:r>
      <w:r w:rsidR="004A3AC4">
        <w:rPr>
          <w:color w:val="333333"/>
        </w:rPr>
        <w:t>ьства РФ №24 от 21.01.2004 г, АО «</w:t>
      </w:r>
      <w:proofErr w:type="spellStart"/>
      <w:r w:rsidR="004A3AC4">
        <w:rPr>
          <w:color w:val="333333"/>
        </w:rPr>
        <w:t>Татнефтепром-Зюзеевнефть</w:t>
      </w:r>
      <w:proofErr w:type="spellEnd"/>
      <w:r w:rsidR="00124742">
        <w:rPr>
          <w:color w:val="333333"/>
        </w:rPr>
        <w:t>» публикует информацию.</w:t>
      </w:r>
    </w:p>
    <w:p w:rsidR="00B7656B" w:rsidRPr="00B7656B" w:rsidRDefault="00B7656B" w:rsidP="00124742">
      <w:pPr>
        <w:pStyle w:val="a4"/>
        <w:jc w:val="both"/>
        <w:rPr>
          <w:b/>
          <w:color w:val="333333"/>
        </w:rPr>
      </w:pPr>
      <w:r w:rsidRPr="00B7656B">
        <w:rPr>
          <w:b/>
          <w:color w:val="333333"/>
        </w:rPr>
        <w:t>Информация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регулирования:</w:t>
      </w:r>
    </w:p>
    <w:p w:rsidR="00124742" w:rsidRDefault="00124742" w:rsidP="00124742">
      <w:pPr>
        <w:pStyle w:val="a4"/>
        <w:jc w:val="both"/>
        <w:rPr>
          <w:color w:val="333333"/>
        </w:rPr>
      </w:pPr>
      <w:r>
        <w:rPr>
          <w:color w:val="333333"/>
        </w:rPr>
        <w:t>Тарифы на услуги по передаче электрической энергии и плата за технологическое присоедин</w:t>
      </w:r>
      <w:r w:rsidR="0072405E">
        <w:rPr>
          <w:color w:val="333333"/>
        </w:rPr>
        <w:t xml:space="preserve">ение к распределительным сетям </w:t>
      </w:r>
      <w:r>
        <w:rPr>
          <w:color w:val="333333"/>
        </w:rPr>
        <w:t>подлежат государственному регулированию в соответствии с Федеральным законом от 26 марта 2003 года №</w:t>
      </w:r>
      <w:r w:rsidR="0072405E">
        <w:rPr>
          <w:color w:val="333333"/>
        </w:rPr>
        <w:t xml:space="preserve"> 35-ФЗ «Об электроэнергетике», </w:t>
      </w:r>
      <w:r>
        <w:rPr>
          <w:color w:val="333333"/>
        </w:rPr>
        <w:t>Постановлением Правительства Российской Федерации от 29 декабря 2011г. №1178 «О ценообразовании в области регулируемых цен (тарифов) в электроэнергетике».</w:t>
      </w:r>
    </w:p>
    <w:p w:rsidR="00124742" w:rsidRDefault="00124742" w:rsidP="00124742">
      <w:pPr>
        <w:pStyle w:val="a4"/>
        <w:jc w:val="both"/>
        <w:rPr>
          <w:color w:val="333333"/>
        </w:rPr>
      </w:pPr>
      <w:r>
        <w:rPr>
          <w:color w:val="333333"/>
        </w:rPr>
        <w:t xml:space="preserve">Тарифы на соответствующий период регулирования утверждаются для </w:t>
      </w:r>
      <w:r w:rsidR="00E14B94">
        <w:rPr>
          <w:color w:val="333333"/>
        </w:rPr>
        <w:t>АО «</w:t>
      </w:r>
      <w:proofErr w:type="spellStart"/>
      <w:r w:rsidR="00E14B94">
        <w:rPr>
          <w:color w:val="333333"/>
        </w:rPr>
        <w:t>Татнефтепром-Зюзеевнефть</w:t>
      </w:r>
      <w:proofErr w:type="spellEnd"/>
      <w:r w:rsidR="00E14B94">
        <w:rPr>
          <w:color w:val="333333"/>
        </w:rPr>
        <w:t>»</w:t>
      </w:r>
      <w:r w:rsidR="00E14B94" w:rsidRPr="00E14B94">
        <w:rPr>
          <w:color w:val="333333"/>
        </w:rPr>
        <w:t xml:space="preserve"> </w:t>
      </w:r>
      <w:r>
        <w:rPr>
          <w:color w:val="333333"/>
        </w:rPr>
        <w:t>решениями Государственного Комитета РТ по тарифам.</w:t>
      </w:r>
    </w:p>
    <w:p w:rsidR="00124742" w:rsidRDefault="009E466D" w:rsidP="00124742">
      <w:pPr>
        <w:pStyle w:val="a4"/>
        <w:jc w:val="both"/>
        <w:rPr>
          <w:color w:val="333333"/>
        </w:rPr>
      </w:pPr>
      <w:r>
        <w:rPr>
          <w:color w:val="333333"/>
        </w:rPr>
        <w:t>На 201</w:t>
      </w:r>
      <w:r w:rsidR="009B2DCD">
        <w:rPr>
          <w:color w:val="333333"/>
        </w:rPr>
        <w:t>8</w:t>
      </w:r>
      <w:r w:rsidR="00124742">
        <w:rPr>
          <w:color w:val="333333"/>
        </w:rPr>
        <w:t xml:space="preserve"> год утверждены следующие тарифы:</w:t>
      </w:r>
    </w:p>
    <w:p w:rsidR="009E466D" w:rsidRPr="002D5DC0" w:rsidRDefault="002D5DC0" w:rsidP="002D5DC0">
      <w:pPr>
        <w:pStyle w:val="a4"/>
        <w:jc w:val="both"/>
        <w:rPr>
          <w:rStyle w:val="a3"/>
          <w:b w:val="0"/>
          <w:bCs w:val="0"/>
          <w:color w:val="333333"/>
        </w:rPr>
      </w:pPr>
      <w:r>
        <w:rPr>
          <w:rStyle w:val="a3"/>
          <w:color w:val="333333"/>
        </w:rPr>
        <w:t xml:space="preserve">- </w:t>
      </w:r>
      <w:r w:rsidR="00124742">
        <w:rPr>
          <w:rStyle w:val="a3"/>
          <w:color w:val="333333"/>
        </w:rPr>
        <w:t xml:space="preserve"> По передаче электрической энергии</w:t>
      </w:r>
      <w:r w:rsidR="00124742">
        <w:rPr>
          <w:color w:val="333333"/>
        </w:rPr>
        <w:t xml:space="preserve"> - </w:t>
      </w:r>
      <w:r w:rsidR="009E466D" w:rsidRPr="009E466D">
        <w:rPr>
          <w:sz w:val="28"/>
          <w:szCs w:val="22"/>
        </w:rPr>
        <w:t xml:space="preserve">- </w:t>
      </w:r>
      <w:r w:rsidR="009E466D" w:rsidRPr="009E466D">
        <w:t xml:space="preserve">установлены </w:t>
      </w:r>
      <w:hyperlink r:id="rId5" w:history="1">
        <w:r w:rsidR="009B2DCD" w:rsidRPr="009B2DCD">
          <w:rPr>
            <w:rStyle w:val="a5"/>
          </w:rPr>
          <w:t>Постановлением Государственного Комитета по тарифам РТ №3-11/Э</w:t>
        </w:r>
      </w:hyperlink>
      <w:r w:rsidR="009B2DCD">
        <w:t xml:space="preserve"> от 14</w:t>
      </w:r>
      <w:r w:rsidR="0052490B">
        <w:t>.12.2017</w:t>
      </w:r>
      <w:r w:rsidR="00592B0A">
        <w:t>г.</w:t>
      </w:r>
      <w:r w:rsidR="009E466D" w:rsidRPr="009E466D">
        <w:rPr>
          <w:bCs/>
          <w:sz w:val="22"/>
          <w:szCs w:val="22"/>
        </w:rPr>
        <w:t xml:space="preserve"> «</w:t>
      </w:r>
      <w:r w:rsidR="009B2DCD">
        <w:rPr>
          <w:sz w:val="22"/>
          <w:szCs w:val="22"/>
        </w:rPr>
        <w:t>О корректировке на 2018</w:t>
      </w:r>
      <w:r w:rsidR="00D502F1">
        <w:rPr>
          <w:sz w:val="22"/>
          <w:szCs w:val="22"/>
        </w:rPr>
        <w:t xml:space="preserve"> год долгосрочных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Татарстан, установленных</w:t>
      </w:r>
      <w:r w:rsidR="009E466D" w:rsidRPr="009E466D">
        <w:rPr>
          <w:sz w:val="22"/>
          <w:szCs w:val="22"/>
        </w:rPr>
        <w:t xml:space="preserve"> постановление</w:t>
      </w:r>
      <w:r w:rsidR="00D502F1">
        <w:rPr>
          <w:sz w:val="22"/>
          <w:szCs w:val="22"/>
        </w:rPr>
        <w:t>м</w:t>
      </w:r>
      <w:r w:rsidR="009E466D" w:rsidRPr="009E466D">
        <w:rPr>
          <w:sz w:val="22"/>
          <w:szCs w:val="22"/>
        </w:rPr>
        <w:t xml:space="preserve"> Государственного комитета Республики Татарстан по тарифам от 05.12.2014 № 3-9/э «Об установлении индивидуальных тарифов на услуги по передачи э/энергии для взаиморасчетов между сетевыми организациями на территории Республики Татарстан 2015-2019 годы»:</w:t>
      </w:r>
      <w:r>
        <w:rPr>
          <w:sz w:val="22"/>
          <w:szCs w:val="22"/>
        </w:rPr>
        <w:t xml:space="preserve"> опубликовано на</w:t>
      </w:r>
      <w:r w:rsidRPr="002D5DC0">
        <w:t xml:space="preserve"> </w:t>
      </w:r>
      <w:hyperlink r:id="rId6" w:history="1">
        <w:r w:rsidRPr="00305D6A">
          <w:rPr>
            <w:rStyle w:val="a5"/>
          </w:rPr>
          <w:t>официальном сайте Государственного комитета РТ по тарифам </w:t>
        </w:r>
      </w:hyperlink>
    </w:p>
    <w:p w:rsidR="009E466D" w:rsidRPr="009E466D" w:rsidRDefault="009E466D" w:rsidP="009E466D">
      <w:pPr>
        <w:widowControl w:val="0"/>
        <w:autoSpaceDE w:val="0"/>
        <w:autoSpaceDN w:val="0"/>
        <w:adjustRightInd w:val="0"/>
        <w:spacing w:before="40"/>
        <w:ind w:left="709"/>
        <w:jc w:val="both"/>
        <w:rPr>
          <w:bCs/>
          <w:sz w:val="22"/>
          <w:szCs w:val="22"/>
        </w:rPr>
      </w:pPr>
    </w:p>
    <w:tbl>
      <w:tblPr>
        <w:tblW w:w="93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583"/>
        <w:gridCol w:w="1534"/>
        <w:gridCol w:w="1560"/>
        <w:gridCol w:w="1569"/>
        <w:gridCol w:w="1541"/>
      </w:tblGrid>
      <w:tr w:rsidR="00124742" w:rsidTr="00D502F1">
        <w:trPr>
          <w:trHeight w:val="315"/>
          <w:tblCellSpacing w:w="7" w:type="dxa"/>
          <w:jc w:val="center"/>
        </w:trPr>
        <w:tc>
          <w:tcPr>
            <w:tcW w:w="4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9B2DCD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c 1 января по 30 июня 2018</w:t>
            </w:r>
            <w:r w:rsidR="00124742">
              <w:rPr>
                <w:rStyle w:val="a3"/>
                <w:color w:val="333333"/>
              </w:rPr>
              <w:t xml:space="preserve"> года</w:t>
            </w:r>
          </w:p>
        </w:tc>
        <w:tc>
          <w:tcPr>
            <w:tcW w:w="4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9B2DCD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c 1 июля по 31 декабря 2018</w:t>
            </w:r>
            <w:r w:rsidR="00124742">
              <w:rPr>
                <w:rStyle w:val="a3"/>
                <w:color w:val="333333"/>
              </w:rPr>
              <w:t xml:space="preserve"> года</w:t>
            </w:r>
          </w:p>
        </w:tc>
      </w:tr>
      <w:tr w:rsidR="00124742" w:rsidTr="00D502F1">
        <w:trPr>
          <w:trHeight w:val="315"/>
          <w:tblCellSpacing w:w="7" w:type="dxa"/>
          <w:jc w:val="center"/>
        </w:trPr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Двухставочный</w:t>
            </w:r>
            <w:proofErr w:type="spellEnd"/>
            <w:r>
              <w:rPr>
                <w:color w:val="333333"/>
              </w:rPr>
              <w:t xml:space="preserve"> тариф</w:t>
            </w:r>
          </w:p>
        </w:tc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Одноставочный</w:t>
            </w:r>
            <w:proofErr w:type="spellEnd"/>
            <w:r>
              <w:rPr>
                <w:color w:val="333333"/>
              </w:rPr>
              <w:t xml:space="preserve"> тариф</w:t>
            </w:r>
          </w:p>
        </w:tc>
        <w:tc>
          <w:tcPr>
            <w:tcW w:w="3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Двухставочный</w:t>
            </w:r>
            <w:proofErr w:type="spellEnd"/>
            <w:r>
              <w:rPr>
                <w:color w:val="333333"/>
              </w:rPr>
              <w:t xml:space="preserve"> тариф</w:t>
            </w:r>
          </w:p>
        </w:tc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Одноставочный</w:t>
            </w:r>
            <w:proofErr w:type="spellEnd"/>
            <w:r>
              <w:rPr>
                <w:color w:val="333333"/>
              </w:rPr>
              <w:t xml:space="preserve"> тариф</w:t>
            </w:r>
          </w:p>
        </w:tc>
      </w:tr>
      <w:tr w:rsidR="00124742" w:rsidTr="00D502F1">
        <w:trPr>
          <w:trHeight w:val="1230"/>
          <w:tblCellSpacing w:w="7" w:type="dxa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Ставка за содержание электрических сетей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Ставка на оплату технологического расхода (потерь)</w:t>
            </w:r>
          </w:p>
        </w:tc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rPr>
                <w:color w:val="333333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Ставка за содержание электрических сетей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Ставка на оплату технологического расхода (потерь)</w:t>
            </w:r>
          </w:p>
        </w:tc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rPr>
                <w:color w:val="333333"/>
              </w:rPr>
            </w:pPr>
          </w:p>
        </w:tc>
      </w:tr>
      <w:tr w:rsidR="00124742" w:rsidTr="00D502F1">
        <w:trPr>
          <w:trHeight w:val="525"/>
          <w:tblCellSpacing w:w="7" w:type="dxa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D502F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руб./</w:t>
            </w:r>
            <w:proofErr w:type="spellStart"/>
            <w:r>
              <w:rPr>
                <w:color w:val="333333"/>
              </w:rPr>
              <w:t>МВт·мес</w:t>
            </w:r>
            <w:proofErr w:type="spellEnd"/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017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руб./</w:t>
            </w:r>
            <w:proofErr w:type="spellStart"/>
            <w:r>
              <w:rPr>
                <w:color w:val="333333"/>
              </w:rPr>
              <w:t>М</w:t>
            </w:r>
            <w:r w:rsidR="00124742">
              <w:rPr>
                <w:color w:val="333333"/>
              </w:rPr>
              <w:t>Вт·ч</w:t>
            </w:r>
            <w:proofErr w:type="spellEnd"/>
            <w:r w:rsidR="00124742">
              <w:rPr>
                <w:color w:val="333333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руб./</w:t>
            </w:r>
            <w:proofErr w:type="spellStart"/>
            <w:r>
              <w:rPr>
                <w:color w:val="333333"/>
              </w:rPr>
              <w:t>кВт·ч</w:t>
            </w:r>
            <w:proofErr w:type="spellEnd"/>
            <w:r>
              <w:rPr>
                <w:color w:val="333333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017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руб./</w:t>
            </w:r>
            <w:proofErr w:type="spellStart"/>
            <w:r>
              <w:rPr>
                <w:color w:val="333333"/>
              </w:rPr>
              <w:t>М</w:t>
            </w:r>
            <w:r w:rsidR="00124742">
              <w:rPr>
                <w:color w:val="333333"/>
              </w:rPr>
              <w:t>Вт·мес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017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руб./</w:t>
            </w:r>
            <w:proofErr w:type="spellStart"/>
            <w:r>
              <w:rPr>
                <w:color w:val="333333"/>
              </w:rPr>
              <w:t>М</w:t>
            </w:r>
            <w:r w:rsidR="00124742">
              <w:rPr>
                <w:color w:val="333333"/>
              </w:rPr>
              <w:t>Вт·ч</w:t>
            </w:r>
            <w:proofErr w:type="spellEnd"/>
            <w:r w:rsidR="00124742">
              <w:rPr>
                <w:color w:val="333333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руб./</w:t>
            </w:r>
            <w:proofErr w:type="spellStart"/>
            <w:r>
              <w:rPr>
                <w:color w:val="333333"/>
              </w:rPr>
              <w:t>кВт·ч</w:t>
            </w:r>
            <w:proofErr w:type="spellEnd"/>
            <w:r>
              <w:rPr>
                <w:color w:val="333333"/>
              </w:rPr>
              <w:t> </w:t>
            </w:r>
          </w:p>
        </w:tc>
      </w:tr>
      <w:tr w:rsidR="00124742" w:rsidTr="00D502F1">
        <w:trPr>
          <w:trHeight w:val="315"/>
          <w:tblCellSpacing w:w="7" w:type="dxa"/>
          <w:jc w:val="center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4A3AC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169 660,65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4A3AC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2,93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4A3AC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0,33959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4A3AC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169 660,65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4A3AC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3,20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42" w:rsidRDefault="004A3AC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0,33986</w:t>
            </w:r>
          </w:p>
        </w:tc>
      </w:tr>
    </w:tbl>
    <w:p w:rsidR="00124742" w:rsidRDefault="00124742" w:rsidP="00124742">
      <w:pPr>
        <w:pStyle w:val="a4"/>
        <w:jc w:val="both"/>
        <w:rPr>
          <w:rStyle w:val="a5"/>
        </w:rPr>
      </w:pPr>
      <w:r>
        <w:rPr>
          <w:rStyle w:val="a3"/>
          <w:color w:val="333333"/>
        </w:rPr>
        <w:t>- По технологическому присоединению</w:t>
      </w:r>
      <w:r>
        <w:rPr>
          <w:color w:val="333333"/>
        </w:rPr>
        <w:t> - установлены </w:t>
      </w:r>
      <w:hyperlink r:id="rId7" w:history="1">
        <w:r w:rsidR="00D472BF">
          <w:rPr>
            <w:rStyle w:val="a5"/>
          </w:rPr>
          <w:t>Постановлением Государственного комитета Республики Татарстан от 15.12.17 №6-193/</w:t>
        </w:r>
        <w:proofErr w:type="spellStart"/>
        <w:r w:rsidR="00D472BF">
          <w:rPr>
            <w:rStyle w:val="a5"/>
          </w:rPr>
          <w:t>тп</w:t>
        </w:r>
        <w:proofErr w:type="spellEnd"/>
      </w:hyperlink>
      <w:r w:rsidR="00592B0A">
        <w:rPr>
          <w:color w:val="333333"/>
        </w:rPr>
        <w:t xml:space="preserve"> </w:t>
      </w:r>
      <w:r w:rsidRPr="009B4724">
        <w:rPr>
          <w:color w:val="333333"/>
        </w:rPr>
        <w:t> «Об установлении стандартизированных тарифных ставок, ставок</w:t>
      </w:r>
      <w:r>
        <w:rPr>
          <w:color w:val="333333"/>
        </w:rPr>
        <w:t xml:space="preserve">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</w:t>
      </w:r>
      <w:r w:rsidR="00D472BF">
        <w:rPr>
          <w:color w:val="333333"/>
        </w:rPr>
        <w:t>етям сетевых организаций на 2018</w:t>
      </w:r>
      <w:r>
        <w:rPr>
          <w:color w:val="333333"/>
        </w:rPr>
        <w:t xml:space="preserve"> год»: опубликовано на </w:t>
      </w:r>
      <w:hyperlink r:id="rId8" w:history="1">
        <w:r w:rsidRPr="00305D6A">
          <w:rPr>
            <w:rStyle w:val="a5"/>
          </w:rPr>
          <w:t>официальном сайте Государственного комитета РТ по тарифам </w:t>
        </w:r>
      </w:hyperlink>
    </w:p>
    <w:p w:rsidR="00950D87" w:rsidRDefault="004A3AC4" w:rsidP="00233636">
      <w:pPr>
        <w:pStyle w:val="a4"/>
        <w:jc w:val="both"/>
        <w:rPr>
          <w:color w:val="333333"/>
        </w:rPr>
      </w:pPr>
      <w:r>
        <w:rPr>
          <w:color w:val="333333"/>
        </w:rPr>
        <w:t>АО «</w:t>
      </w:r>
      <w:proofErr w:type="spellStart"/>
      <w:r>
        <w:rPr>
          <w:color w:val="333333"/>
        </w:rPr>
        <w:t>Татнефтепром-Зюзеевнефть</w:t>
      </w:r>
      <w:proofErr w:type="spellEnd"/>
      <w:r w:rsidR="00233636">
        <w:rPr>
          <w:color w:val="333333"/>
        </w:rPr>
        <w:t>» является территориальной сетевой организацией, оказывающей услуги по передаче электрической энергии на территории Республики Татарстан. Пер</w:t>
      </w:r>
      <w:r>
        <w:rPr>
          <w:color w:val="333333"/>
        </w:rPr>
        <w:t>ечень зон деятельности АО «</w:t>
      </w:r>
      <w:proofErr w:type="spellStart"/>
      <w:r>
        <w:rPr>
          <w:color w:val="333333"/>
        </w:rPr>
        <w:t>Татнефтепром-Зюзеевнефть</w:t>
      </w:r>
      <w:proofErr w:type="spellEnd"/>
      <w:r>
        <w:rPr>
          <w:color w:val="333333"/>
        </w:rPr>
        <w:t xml:space="preserve">»: </w:t>
      </w:r>
      <w:r w:rsidR="00E212CF" w:rsidRPr="007D7445">
        <w:t>Р</w:t>
      </w:r>
      <w:r w:rsidR="00E212CF">
        <w:t xml:space="preserve">еспублика </w:t>
      </w:r>
      <w:r w:rsidR="00E212CF" w:rsidRPr="007D7445">
        <w:t>Т</w:t>
      </w:r>
      <w:r w:rsidR="00E212CF">
        <w:t>атарстан</w:t>
      </w:r>
      <w:r w:rsidR="00E212CF" w:rsidRPr="007D7445">
        <w:t xml:space="preserve">, </w:t>
      </w:r>
      <w:proofErr w:type="spellStart"/>
      <w:r w:rsidR="00E212CF" w:rsidRPr="007D7445">
        <w:t>Нурлатский</w:t>
      </w:r>
      <w:proofErr w:type="spellEnd"/>
      <w:r w:rsidR="00E212CF" w:rsidRPr="007D7445">
        <w:t xml:space="preserve"> р-н, с. </w:t>
      </w:r>
      <w:proofErr w:type="spellStart"/>
      <w:r w:rsidR="00E212CF" w:rsidRPr="007D7445">
        <w:t>Мамыково</w:t>
      </w:r>
      <w:proofErr w:type="spellEnd"/>
      <w:r w:rsidR="00E212CF">
        <w:t>.</w:t>
      </w:r>
    </w:p>
    <w:p w:rsidR="00E212CF" w:rsidRPr="00E212CF" w:rsidRDefault="00E212CF" w:rsidP="00E212C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E212CF">
        <w:t xml:space="preserve">       </w:t>
      </w:r>
      <w:r>
        <w:t>АО «</w:t>
      </w:r>
      <w:proofErr w:type="spellStart"/>
      <w:r>
        <w:t>Татнефтепром-Зюзеевнефть</w:t>
      </w:r>
      <w:proofErr w:type="spellEnd"/>
      <w:r>
        <w:t xml:space="preserve">» обладает сетями </w:t>
      </w:r>
      <w:r w:rsidRPr="00E212CF">
        <w:t>и подстанцией (</w:t>
      </w:r>
      <w:proofErr w:type="spellStart"/>
      <w:r w:rsidRPr="00E212CF">
        <w:t>Мамыково</w:t>
      </w:r>
      <w:proofErr w:type="spellEnd"/>
      <w:r w:rsidRPr="00E212CF">
        <w:t xml:space="preserve">)110/35/10 </w:t>
      </w:r>
      <w:proofErr w:type="spellStart"/>
      <w:r w:rsidRPr="00E212CF">
        <w:t>кВ.</w:t>
      </w:r>
      <w:proofErr w:type="spellEnd"/>
    </w:p>
    <w:p w:rsidR="007478CD" w:rsidRPr="00B7656B" w:rsidRDefault="007478CD" w:rsidP="00D37521">
      <w:pPr>
        <w:widowControl w:val="0"/>
        <w:autoSpaceDE w:val="0"/>
        <w:autoSpaceDN w:val="0"/>
        <w:adjustRightInd w:val="0"/>
        <w:spacing w:before="120" w:line="264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 2017 год в сети </w:t>
      </w:r>
      <w:r w:rsidR="003704CC">
        <w:t>АО «</w:t>
      </w:r>
      <w:proofErr w:type="spellStart"/>
      <w:r w:rsidR="003704CC">
        <w:t>Татнефтепром-Зюзеевнефть</w:t>
      </w:r>
      <w:proofErr w:type="spellEnd"/>
      <w:r w:rsidR="003704CC">
        <w:t xml:space="preserve">» </w:t>
      </w:r>
      <w:r>
        <w:rPr>
          <w:bCs/>
          <w:sz w:val="22"/>
          <w:szCs w:val="22"/>
        </w:rPr>
        <w:t xml:space="preserve">поступило </w:t>
      </w:r>
      <w:r w:rsidR="003704CC">
        <w:rPr>
          <w:bCs/>
          <w:sz w:val="22"/>
          <w:szCs w:val="22"/>
        </w:rPr>
        <w:t>49,558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млн.</w:t>
      </w:r>
      <w:r w:rsidRPr="00B7656B">
        <w:rPr>
          <w:bCs/>
          <w:sz w:val="22"/>
          <w:szCs w:val="22"/>
        </w:rPr>
        <w:t>кВтч</w:t>
      </w:r>
      <w:proofErr w:type="spellEnd"/>
      <w:r w:rsidRPr="00B7656B">
        <w:rPr>
          <w:bCs/>
          <w:sz w:val="22"/>
          <w:szCs w:val="22"/>
        </w:rPr>
        <w:t>, в том числе ВН –</w:t>
      </w:r>
      <w:r w:rsidR="003704CC">
        <w:rPr>
          <w:bCs/>
          <w:sz w:val="22"/>
          <w:szCs w:val="22"/>
        </w:rPr>
        <w:t xml:space="preserve"> 47,978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млн.</w:t>
      </w:r>
      <w:r w:rsidRPr="00B7656B">
        <w:rPr>
          <w:bCs/>
          <w:sz w:val="22"/>
          <w:szCs w:val="22"/>
        </w:rPr>
        <w:t>кВтч</w:t>
      </w:r>
      <w:proofErr w:type="spellEnd"/>
      <w:r w:rsidRPr="00B7656B">
        <w:rPr>
          <w:bCs/>
          <w:sz w:val="22"/>
          <w:szCs w:val="22"/>
        </w:rPr>
        <w:t xml:space="preserve">; СН1 – </w:t>
      </w:r>
      <w:r w:rsidR="003704CC">
        <w:rPr>
          <w:bCs/>
          <w:sz w:val="22"/>
          <w:szCs w:val="22"/>
        </w:rPr>
        <w:t>1,016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млн.</w:t>
      </w:r>
      <w:r w:rsidRPr="00B7656B">
        <w:rPr>
          <w:bCs/>
          <w:sz w:val="22"/>
          <w:szCs w:val="22"/>
        </w:rPr>
        <w:t>кВтч</w:t>
      </w:r>
      <w:proofErr w:type="spellEnd"/>
      <w:r w:rsidRPr="00B7656B">
        <w:rPr>
          <w:bCs/>
          <w:sz w:val="22"/>
          <w:szCs w:val="22"/>
        </w:rPr>
        <w:t xml:space="preserve">; СН2 – </w:t>
      </w:r>
      <w:r w:rsidR="003704CC">
        <w:rPr>
          <w:bCs/>
          <w:sz w:val="22"/>
          <w:szCs w:val="22"/>
        </w:rPr>
        <w:t>0,564</w:t>
      </w:r>
      <w:r>
        <w:rPr>
          <w:bCs/>
          <w:sz w:val="22"/>
          <w:szCs w:val="22"/>
        </w:rPr>
        <w:t xml:space="preserve"> </w:t>
      </w:r>
      <w:proofErr w:type="spellStart"/>
      <w:r w:rsidRPr="00B7656B">
        <w:rPr>
          <w:bCs/>
          <w:sz w:val="22"/>
          <w:szCs w:val="22"/>
        </w:rPr>
        <w:t>млн.кВтч</w:t>
      </w:r>
      <w:proofErr w:type="spellEnd"/>
      <w:r w:rsidRPr="00B7656B">
        <w:rPr>
          <w:bCs/>
          <w:sz w:val="22"/>
          <w:szCs w:val="22"/>
        </w:rPr>
        <w:t xml:space="preserve">, НН </w:t>
      </w:r>
      <w:r>
        <w:rPr>
          <w:bCs/>
          <w:sz w:val="22"/>
          <w:szCs w:val="22"/>
        </w:rPr>
        <w:t>–</w:t>
      </w:r>
      <w:r w:rsidRPr="00B7656B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 xml:space="preserve">0 </w:t>
      </w:r>
      <w:r w:rsidRPr="00B7656B">
        <w:rPr>
          <w:bCs/>
          <w:sz w:val="22"/>
          <w:szCs w:val="22"/>
        </w:rPr>
        <w:t>.</w:t>
      </w:r>
      <w:proofErr w:type="spellStart"/>
      <w:r w:rsidRPr="00B7656B">
        <w:rPr>
          <w:bCs/>
          <w:sz w:val="22"/>
          <w:szCs w:val="22"/>
        </w:rPr>
        <w:t>кВтч</w:t>
      </w:r>
      <w:proofErr w:type="spellEnd"/>
      <w:proofErr w:type="gramEnd"/>
      <w:r w:rsidRPr="00B7656B">
        <w:rPr>
          <w:bCs/>
          <w:sz w:val="22"/>
          <w:szCs w:val="22"/>
        </w:rPr>
        <w:t>.</w:t>
      </w:r>
    </w:p>
    <w:p w:rsidR="007478CD" w:rsidRPr="007478CD" w:rsidRDefault="007478CD" w:rsidP="003704C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7656B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пущено электроэнергии из сети </w:t>
      </w:r>
      <w:r w:rsidR="003704CC">
        <w:t>АО «</w:t>
      </w:r>
      <w:proofErr w:type="spellStart"/>
      <w:r w:rsidR="003704CC">
        <w:t>Татнефтепром-Зюзеевнефть</w:t>
      </w:r>
      <w:proofErr w:type="spellEnd"/>
      <w:r w:rsidR="003704CC">
        <w:t xml:space="preserve">» </w:t>
      </w:r>
      <w:r w:rsidR="003704CC">
        <w:rPr>
          <w:bCs/>
          <w:sz w:val="22"/>
          <w:szCs w:val="22"/>
        </w:rPr>
        <w:t>49,558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мл</w:t>
      </w:r>
      <w:r w:rsidR="003704CC">
        <w:rPr>
          <w:bCs/>
          <w:sz w:val="22"/>
          <w:szCs w:val="22"/>
        </w:rPr>
        <w:t>н.кВтч</w:t>
      </w:r>
      <w:proofErr w:type="spellEnd"/>
      <w:r w:rsidR="003704CC">
        <w:rPr>
          <w:bCs/>
          <w:sz w:val="22"/>
          <w:szCs w:val="22"/>
        </w:rPr>
        <w:t xml:space="preserve">, в том числе ВН – 30,084 </w:t>
      </w:r>
      <w:proofErr w:type="spellStart"/>
      <w:r w:rsidR="003704CC">
        <w:rPr>
          <w:bCs/>
          <w:sz w:val="22"/>
          <w:szCs w:val="22"/>
        </w:rPr>
        <w:t>млн.кВтч</w:t>
      </w:r>
      <w:proofErr w:type="spellEnd"/>
      <w:r w:rsidR="003704CC">
        <w:rPr>
          <w:bCs/>
          <w:sz w:val="22"/>
          <w:szCs w:val="22"/>
        </w:rPr>
        <w:t xml:space="preserve">; СН1 – 9,714 </w:t>
      </w:r>
      <w:proofErr w:type="spellStart"/>
      <w:r w:rsidR="003704CC">
        <w:rPr>
          <w:bCs/>
          <w:sz w:val="22"/>
          <w:szCs w:val="22"/>
        </w:rPr>
        <w:t>млн.кВтч</w:t>
      </w:r>
      <w:proofErr w:type="spellEnd"/>
      <w:r w:rsidR="003704CC">
        <w:rPr>
          <w:bCs/>
          <w:sz w:val="22"/>
          <w:szCs w:val="22"/>
        </w:rPr>
        <w:t xml:space="preserve">; СН2 – 9,401 </w:t>
      </w:r>
      <w:proofErr w:type="spellStart"/>
      <w:r w:rsidR="003704CC">
        <w:rPr>
          <w:bCs/>
          <w:sz w:val="22"/>
          <w:szCs w:val="22"/>
        </w:rPr>
        <w:t>млн.кВтч</w:t>
      </w:r>
      <w:proofErr w:type="spellEnd"/>
      <w:r w:rsidR="003704CC">
        <w:rPr>
          <w:bCs/>
          <w:sz w:val="22"/>
          <w:szCs w:val="22"/>
        </w:rPr>
        <w:t>; НН – 0,359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млн.кВтч</w:t>
      </w:r>
      <w:proofErr w:type="spellEnd"/>
      <w:r>
        <w:rPr>
          <w:bCs/>
          <w:sz w:val="22"/>
          <w:szCs w:val="22"/>
        </w:rPr>
        <w:t>.</w:t>
      </w:r>
    </w:p>
    <w:p w:rsidR="0011288E" w:rsidRPr="00B7656B" w:rsidRDefault="0011288E" w:rsidP="0011288E">
      <w:pPr>
        <w:pStyle w:val="a4"/>
        <w:ind w:firstLine="567"/>
        <w:jc w:val="both"/>
        <w:rPr>
          <w:color w:val="333333"/>
        </w:rPr>
      </w:pPr>
      <w:r>
        <w:rPr>
          <w:color w:val="333333"/>
        </w:rPr>
        <w:t xml:space="preserve">Норматив потерь электроэнергии </w:t>
      </w:r>
      <w:r w:rsidR="00004870">
        <w:t>АО «</w:t>
      </w:r>
      <w:proofErr w:type="spellStart"/>
      <w:r w:rsidR="00004870">
        <w:t>Татнефтепром-Зюзеевнефть</w:t>
      </w:r>
      <w:proofErr w:type="spellEnd"/>
      <w:r w:rsidR="00004870">
        <w:t xml:space="preserve">» </w:t>
      </w:r>
      <w:r w:rsidR="00004870">
        <w:rPr>
          <w:color w:val="333333"/>
        </w:rPr>
        <w:t>на 2017</w:t>
      </w:r>
      <w:r>
        <w:rPr>
          <w:color w:val="333333"/>
        </w:rPr>
        <w:t xml:space="preserve"> год в Министерстве Энергетики РФ не утверждался. </w:t>
      </w:r>
    </w:p>
    <w:p w:rsidR="00004870" w:rsidRPr="00004870" w:rsidRDefault="00004870" w:rsidP="0000487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004870">
        <w:rPr>
          <w:bCs/>
        </w:rPr>
        <w:t xml:space="preserve">         АО «</w:t>
      </w:r>
      <w:proofErr w:type="spellStart"/>
      <w:r w:rsidRPr="00004870">
        <w:rPr>
          <w:bCs/>
        </w:rPr>
        <w:t>Татнефтепром-Зюзеевнефть</w:t>
      </w:r>
      <w:proofErr w:type="spellEnd"/>
      <w:r w:rsidRPr="00004870">
        <w:rPr>
          <w:bCs/>
        </w:rPr>
        <w:t xml:space="preserve">» не имеет заключенного договора на покупку потерь электрической энергии. </w:t>
      </w:r>
    </w:p>
    <w:p w:rsidR="0011288E" w:rsidRPr="00705556" w:rsidRDefault="00705556" w:rsidP="00124742">
      <w:pPr>
        <w:pStyle w:val="a4"/>
        <w:jc w:val="both"/>
        <w:rPr>
          <w:rStyle w:val="a5"/>
          <w:color w:val="333333"/>
          <w:u w:val="none"/>
        </w:rPr>
      </w:pPr>
      <w:r w:rsidRPr="006116F4">
        <w:rPr>
          <w:color w:val="333333"/>
        </w:rPr>
        <w:t>Информацией о размере потерь, оплачиваемых покупателями при осуществлении расчетов за электрическую э</w:t>
      </w:r>
      <w:r>
        <w:rPr>
          <w:color w:val="333333"/>
        </w:rPr>
        <w:t xml:space="preserve">нергию по уровням напряжения, </w:t>
      </w:r>
      <w:r w:rsidR="00004870" w:rsidRPr="00004870">
        <w:rPr>
          <w:bCs/>
        </w:rPr>
        <w:t>АО «</w:t>
      </w:r>
      <w:proofErr w:type="spellStart"/>
      <w:r w:rsidR="00004870" w:rsidRPr="00004870">
        <w:rPr>
          <w:bCs/>
        </w:rPr>
        <w:t>Татнефтепром-Зюзеевнефть</w:t>
      </w:r>
      <w:proofErr w:type="spellEnd"/>
      <w:r w:rsidR="00004870" w:rsidRPr="00004870">
        <w:rPr>
          <w:bCs/>
        </w:rPr>
        <w:t xml:space="preserve">» </w:t>
      </w:r>
      <w:r w:rsidRPr="006116F4">
        <w:rPr>
          <w:color w:val="333333"/>
        </w:rPr>
        <w:t>не обладает.</w:t>
      </w:r>
    </w:p>
    <w:p w:rsidR="009F3E36" w:rsidRDefault="009F3E36" w:rsidP="00124742">
      <w:pPr>
        <w:pStyle w:val="a4"/>
        <w:jc w:val="both"/>
        <w:rPr>
          <w:rStyle w:val="a5"/>
        </w:rPr>
      </w:pPr>
      <w:r>
        <w:rPr>
          <w:rStyle w:val="a5"/>
        </w:rPr>
        <w:t>9а – годовая финансовая (бухгалтерская) отчетность</w:t>
      </w:r>
    </w:p>
    <w:p w:rsidR="009F3E36" w:rsidRDefault="009F3E36" w:rsidP="00124742">
      <w:pPr>
        <w:pStyle w:val="a4"/>
        <w:jc w:val="both"/>
        <w:rPr>
          <w:rStyle w:val="a5"/>
        </w:rPr>
      </w:pPr>
      <w:r>
        <w:rPr>
          <w:rStyle w:val="a5"/>
        </w:rPr>
        <w:t>9б – структура и объем затрат на производство и реализацию товаров (работ, услуг)</w:t>
      </w:r>
    </w:p>
    <w:p w:rsidR="009F3E36" w:rsidRDefault="009F3E36" w:rsidP="00124742">
      <w:pPr>
        <w:pStyle w:val="a4"/>
        <w:jc w:val="both"/>
        <w:rPr>
          <w:rStyle w:val="a5"/>
        </w:rPr>
      </w:pPr>
      <w:r>
        <w:rPr>
          <w:rStyle w:val="a5"/>
        </w:rPr>
        <w:t>9г – предложение о размере цен (тарифов) долгосрочных параметров регулирования</w:t>
      </w:r>
    </w:p>
    <w:p w:rsidR="009F3E36" w:rsidRDefault="009F3E36" w:rsidP="00124742">
      <w:pPr>
        <w:pStyle w:val="a4"/>
        <w:jc w:val="both"/>
        <w:rPr>
          <w:rStyle w:val="a5"/>
        </w:rPr>
      </w:pPr>
      <w:r>
        <w:rPr>
          <w:rStyle w:val="a5"/>
        </w:rPr>
        <w:t>11а – о ценах (тарифах) на товары (работы, услуги) субъектов естественных монополий</w:t>
      </w:r>
    </w:p>
    <w:p w:rsidR="00A828F8" w:rsidRDefault="00A828F8" w:rsidP="00A828F8">
      <w:pPr>
        <w:pStyle w:val="a4"/>
        <w:jc w:val="both"/>
        <w:rPr>
          <w:color w:val="333333"/>
        </w:rPr>
      </w:pPr>
      <w:r>
        <w:rPr>
          <w:color w:val="333333"/>
        </w:rPr>
        <w:t>На 2018 год утверждены следующие тарифы:</w:t>
      </w:r>
    </w:p>
    <w:p w:rsidR="00A828F8" w:rsidRPr="002D5DC0" w:rsidRDefault="00A828F8" w:rsidP="00A828F8">
      <w:pPr>
        <w:pStyle w:val="a4"/>
        <w:jc w:val="both"/>
        <w:rPr>
          <w:rStyle w:val="a3"/>
          <w:b w:val="0"/>
          <w:bCs w:val="0"/>
          <w:color w:val="333333"/>
        </w:rPr>
      </w:pPr>
      <w:r>
        <w:rPr>
          <w:rStyle w:val="a3"/>
          <w:color w:val="333333"/>
        </w:rPr>
        <w:t>-  По передаче электрической энергии</w:t>
      </w:r>
      <w:r>
        <w:rPr>
          <w:color w:val="333333"/>
        </w:rPr>
        <w:t xml:space="preserve"> - </w:t>
      </w:r>
      <w:r w:rsidRPr="009E466D">
        <w:rPr>
          <w:sz w:val="28"/>
          <w:szCs w:val="22"/>
        </w:rPr>
        <w:t xml:space="preserve">- </w:t>
      </w:r>
      <w:r w:rsidRPr="009E466D">
        <w:t xml:space="preserve">установлены </w:t>
      </w:r>
      <w:hyperlink r:id="rId9" w:history="1">
        <w:r w:rsidRPr="009B2DCD">
          <w:rPr>
            <w:rStyle w:val="a5"/>
          </w:rPr>
          <w:t>Постановлением Государственного Комитета по тарифам РТ №3-11/Э</w:t>
        </w:r>
      </w:hyperlink>
      <w:r>
        <w:t xml:space="preserve"> от 14.12.2017г.</w:t>
      </w:r>
      <w:r w:rsidRPr="009E466D"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О корректировке на 2018 год долгосрочных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Татарстан, установленных</w:t>
      </w:r>
      <w:r w:rsidRPr="009E466D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  <w:r w:rsidRPr="009E466D">
        <w:rPr>
          <w:sz w:val="22"/>
          <w:szCs w:val="22"/>
        </w:rPr>
        <w:t xml:space="preserve"> Государственного комитета Республики Татарстан по тарифам от 05.12.2014 № 3-9/э «Об установлении индивидуальных тарифов на услуги по передачи э/энергии для взаиморасчетов между сетевыми организациями на территории Республики Татарстан 2015-2019 годы»:</w:t>
      </w:r>
      <w:r>
        <w:rPr>
          <w:sz w:val="22"/>
          <w:szCs w:val="22"/>
        </w:rPr>
        <w:t xml:space="preserve"> опубликовано на</w:t>
      </w:r>
      <w:r w:rsidRPr="002D5DC0">
        <w:t xml:space="preserve"> </w:t>
      </w:r>
      <w:hyperlink r:id="rId10" w:history="1">
        <w:r w:rsidRPr="00305D6A">
          <w:rPr>
            <w:rStyle w:val="a5"/>
          </w:rPr>
          <w:t>официальном сайте Государственного комитета РТ по тарифам </w:t>
        </w:r>
      </w:hyperlink>
    </w:p>
    <w:p w:rsidR="00A828F8" w:rsidRDefault="00A828F8" w:rsidP="00124742">
      <w:pPr>
        <w:pStyle w:val="a4"/>
        <w:jc w:val="both"/>
        <w:rPr>
          <w:rStyle w:val="a5"/>
        </w:rPr>
      </w:pPr>
      <w:r>
        <w:rPr>
          <w:rStyle w:val="a3"/>
          <w:color w:val="333333"/>
        </w:rPr>
        <w:lastRenderedPageBreak/>
        <w:t>- По технологическому присоединению</w:t>
      </w:r>
      <w:r>
        <w:rPr>
          <w:color w:val="333333"/>
        </w:rPr>
        <w:t> - установлены </w:t>
      </w:r>
      <w:hyperlink r:id="rId11" w:history="1">
        <w:r>
          <w:rPr>
            <w:rStyle w:val="a5"/>
          </w:rPr>
          <w:t>Постановлением Государственного комитета Республики Татарстан от 15.12.17 №6-193/</w:t>
        </w:r>
        <w:proofErr w:type="spellStart"/>
        <w:r>
          <w:rPr>
            <w:rStyle w:val="a5"/>
          </w:rPr>
          <w:t>тп</w:t>
        </w:r>
        <w:proofErr w:type="spellEnd"/>
      </w:hyperlink>
      <w:r>
        <w:rPr>
          <w:color w:val="333333"/>
        </w:rPr>
        <w:t xml:space="preserve"> </w:t>
      </w:r>
      <w:r w:rsidRPr="009B4724">
        <w:rPr>
          <w:color w:val="333333"/>
        </w:rPr>
        <w:t> «Об установлении стандартизированных тарифных ставок, ставок</w:t>
      </w:r>
      <w:r>
        <w:rPr>
          <w:color w:val="333333"/>
        </w:rPr>
        <w:t xml:space="preserve">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на 2018 год»: опубликовано на </w:t>
      </w:r>
      <w:hyperlink r:id="rId12" w:history="1">
        <w:r w:rsidRPr="00305D6A">
          <w:rPr>
            <w:rStyle w:val="a5"/>
          </w:rPr>
          <w:t>официальном сайте Государственного комитета РТ по тарифам </w:t>
        </w:r>
      </w:hyperlink>
    </w:p>
    <w:p w:rsidR="009F3E36" w:rsidRDefault="009F3E36" w:rsidP="00124742">
      <w:pPr>
        <w:pStyle w:val="a4"/>
        <w:jc w:val="both"/>
        <w:rPr>
          <w:rStyle w:val="a5"/>
        </w:rPr>
      </w:pPr>
      <w:r>
        <w:rPr>
          <w:rStyle w:val="a5"/>
        </w:rPr>
        <w:t xml:space="preserve">11а(1) – о расходах, связанных с осуществлением </w:t>
      </w:r>
      <w:r w:rsidR="000315C8">
        <w:rPr>
          <w:rStyle w:val="a5"/>
        </w:rPr>
        <w:t>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</w:t>
      </w:r>
    </w:p>
    <w:p w:rsidR="00705556" w:rsidRPr="00233636" w:rsidRDefault="00950D87" w:rsidP="00124742">
      <w:pPr>
        <w:pStyle w:val="a4"/>
        <w:jc w:val="both"/>
        <w:rPr>
          <w:rStyle w:val="a5"/>
          <w:color w:val="auto"/>
          <w:u w:val="none"/>
        </w:rPr>
      </w:pPr>
      <w:r>
        <w:t>Информация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 (в соотв. с п.</w:t>
      </w:r>
      <w:proofErr w:type="gramStart"/>
      <w:r>
        <w:t>11</w:t>
      </w:r>
      <w:proofErr w:type="gramEnd"/>
      <w:r>
        <w:t xml:space="preserve"> а (1)) - Данного вида расходов в 2017 году не понесено.</w:t>
      </w:r>
    </w:p>
    <w:p w:rsidR="000315C8" w:rsidRDefault="000315C8" w:rsidP="00124742">
      <w:pPr>
        <w:pStyle w:val="a4"/>
        <w:jc w:val="both"/>
        <w:rPr>
          <w:rStyle w:val="a5"/>
        </w:rPr>
      </w:pPr>
      <w:r>
        <w:rPr>
          <w:rStyle w:val="a5"/>
        </w:rPr>
        <w:t>11а(2) – о прогнозных сведениях о расходах за технологическое присоединение на очередной календарный год –для ТСО</w:t>
      </w:r>
    </w:p>
    <w:p w:rsidR="000315C8" w:rsidRDefault="000315C8" w:rsidP="00124742">
      <w:pPr>
        <w:pStyle w:val="a4"/>
        <w:jc w:val="both"/>
        <w:rPr>
          <w:rStyle w:val="a5"/>
        </w:rPr>
      </w:pPr>
      <w:r>
        <w:rPr>
          <w:rStyle w:val="a5"/>
        </w:rPr>
        <w:t>11б – об основных потребительских характеристиках регулируемых товаров (работ, услуг) субъектов естественных монополий</w:t>
      </w:r>
    </w:p>
    <w:p w:rsidR="00ED38BD" w:rsidRPr="00B7656B" w:rsidRDefault="00ED38BD" w:rsidP="00ED38BD">
      <w:pPr>
        <w:widowControl w:val="0"/>
        <w:autoSpaceDE w:val="0"/>
        <w:autoSpaceDN w:val="0"/>
        <w:adjustRightInd w:val="0"/>
        <w:spacing w:before="40"/>
        <w:ind w:firstLine="709"/>
        <w:jc w:val="both"/>
        <w:rPr>
          <w:b/>
          <w:bCs/>
          <w:sz w:val="22"/>
          <w:szCs w:val="22"/>
        </w:rPr>
      </w:pPr>
      <w:r w:rsidRPr="00B7656B">
        <w:rPr>
          <w:b/>
          <w:bCs/>
          <w:sz w:val="22"/>
          <w:szCs w:val="22"/>
        </w:rPr>
        <w:t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качества:</w:t>
      </w:r>
    </w:p>
    <w:p w:rsidR="00ED38BD" w:rsidRPr="00B7656B" w:rsidRDefault="00ED38BD" w:rsidP="00ED38BD">
      <w:pPr>
        <w:widowControl w:val="0"/>
        <w:autoSpaceDE w:val="0"/>
        <w:autoSpaceDN w:val="0"/>
        <w:adjustRightInd w:val="0"/>
        <w:spacing w:before="40"/>
        <w:ind w:firstLine="709"/>
        <w:jc w:val="both"/>
        <w:rPr>
          <w:bCs/>
          <w:sz w:val="18"/>
          <w:szCs w:val="22"/>
        </w:rPr>
      </w:pPr>
    </w:p>
    <w:p w:rsidR="00ED38BD" w:rsidRPr="00B7656B" w:rsidRDefault="00C76EB0" w:rsidP="00ED38BD">
      <w:pPr>
        <w:ind w:left="20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Баланс электроэнергии </w:t>
      </w:r>
      <w:r w:rsidR="00004870">
        <w:rPr>
          <w:bCs/>
          <w:sz w:val="22"/>
          <w:szCs w:val="28"/>
        </w:rPr>
        <w:t>и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996"/>
        <w:gridCol w:w="1626"/>
        <w:gridCol w:w="1626"/>
        <w:gridCol w:w="1870"/>
      </w:tblGrid>
      <w:tr w:rsidR="00ED38BD" w:rsidRPr="00B7656B" w:rsidTr="00ED38BD">
        <w:tc>
          <w:tcPr>
            <w:tcW w:w="2227" w:type="dxa"/>
            <w:vAlign w:val="center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2"/>
                <w:szCs w:val="22"/>
              </w:rPr>
            </w:pPr>
            <w:r w:rsidRPr="00B7656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96" w:type="dxa"/>
            <w:vAlign w:val="center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2"/>
                <w:szCs w:val="22"/>
              </w:rPr>
            </w:pPr>
            <w:r w:rsidRPr="00B7656B">
              <w:rPr>
                <w:b/>
                <w:bCs/>
                <w:sz w:val="22"/>
                <w:szCs w:val="22"/>
              </w:rPr>
              <w:t xml:space="preserve">Поступление в сеть, </w:t>
            </w:r>
            <w:proofErr w:type="spellStart"/>
            <w:r w:rsidRPr="00B7656B">
              <w:rPr>
                <w:b/>
                <w:bCs/>
                <w:sz w:val="22"/>
                <w:szCs w:val="22"/>
              </w:rPr>
              <w:t>млн.кВт</w:t>
            </w:r>
            <w:proofErr w:type="spellEnd"/>
            <w:r w:rsidRPr="00B7656B">
              <w:rPr>
                <w:b/>
                <w:bCs/>
                <w:sz w:val="22"/>
                <w:szCs w:val="22"/>
              </w:rPr>
              <w:t xml:space="preserve"> ч</w:t>
            </w:r>
          </w:p>
        </w:tc>
        <w:tc>
          <w:tcPr>
            <w:tcW w:w="1626" w:type="dxa"/>
            <w:vAlign w:val="center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2"/>
                <w:szCs w:val="22"/>
              </w:rPr>
            </w:pPr>
            <w:r w:rsidRPr="00B7656B">
              <w:rPr>
                <w:b/>
                <w:bCs/>
                <w:sz w:val="22"/>
                <w:szCs w:val="22"/>
              </w:rPr>
              <w:t xml:space="preserve">Объем услуг, </w:t>
            </w:r>
            <w:proofErr w:type="spellStart"/>
            <w:r w:rsidRPr="00B7656B">
              <w:rPr>
                <w:b/>
                <w:bCs/>
                <w:sz w:val="22"/>
                <w:szCs w:val="22"/>
              </w:rPr>
              <w:t>млн.кВт</w:t>
            </w:r>
            <w:proofErr w:type="spellEnd"/>
            <w:r w:rsidRPr="00B7656B">
              <w:rPr>
                <w:b/>
                <w:bCs/>
                <w:sz w:val="22"/>
                <w:szCs w:val="22"/>
              </w:rPr>
              <w:t xml:space="preserve"> ч</w:t>
            </w:r>
          </w:p>
        </w:tc>
        <w:tc>
          <w:tcPr>
            <w:tcW w:w="1626" w:type="dxa"/>
            <w:vAlign w:val="center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2"/>
                <w:szCs w:val="22"/>
              </w:rPr>
            </w:pPr>
            <w:r w:rsidRPr="00B7656B">
              <w:rPr>
                <w:b/>
                <w:bCs/>
                <w:sz w:val="22"/>
                <w:szCs w:val="22"/>
              </w:rPr>
              <w:t xml:space="preserve">Потери в сети, </w:t>
            </w:r>
            <w:proofErr w:type="spellStart"/>
            <w:r w:rsidRPr="00B7656B">
              <w:rPr>
                <w:b/>
                <w:bCs/>
                <w:sz w:val="22"/>
                <w:szCs w:val="22"/>
              </w:rPr>
              <w:t>млн.кВт</w:t>
            </w:r>
            <w:proofErr w:type="spellEnd"/>
            <w:r w:rsidRPr="00B7656B">
              <w:rPr>
                <w:b/>
                <w:bCs/>
                <w:sz w:val="22"/>
                <w:szCs w:val="22"/>
              </w:rPr>
              <w:t xml:space="preserve"> ч</w:t>
            </w:r>
          </w:p>
        </w:tc>
        <w:tc>
          <w:tcPr>
            <w:tcW w:w="1870" w:type="dxa"/>
            <w:vAlign w:val="center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/>
                <w:bCs/>
                <w:sz w:val="22"/>
                <w:szCs w:val="22"/>
              </w:rPr>
            </w:pPr>
            <w:r w:rsidRPr="00B7656B">
              <w:rPr>
                <w:b/>
                <w:bCs/>
                <w:sz w:val="22"/>
                <w:szCs w:val="22"/>
              </w:rPr>
              <w:t xml:space="preserve">Заявленная мощность,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товаров</w:t>
            </w:r>
            <w:r w:rsidRPr="00B7656B">
              <w:rPr>
                <w:b/>
                <w:bCs/>
                <w:sz w:val="22"/>
                <w:szCs w:val="22"/>
              </w:rPr>
              <w:t>МВт</w:t>
            </w:r>
            <w:proofErr w:type="spellEnd"/>
          </w:p>
        </w:tc>
      </w:tr>
      <w:tr w:rsidR="00ED38BD" w:rsidRPr="00B7656B" w:rsidTr="00ED38BD">
        <w:tc>
          <w:tcPr>
            <w:tcW w:w="2227" w:type="dxa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both"/>
              <w:rPr>
                <w:bCs/>
                <w:sz w:val="22"/>
                <w:szCs w:val="22"/>
              </w:rPr>
            </w:pPr>
            <w:r w:rsidRPr="00B7656B">
              <w:rPr>
                <w:bCs/>
                <w:sz w:val="22"/>
                <w:szCs w:val="22"/>
              </w:rPr>
              <w:t>ВН</w:t>
            </w:r>
          </w:p>
        </w:tc>
        <w:tc>
          <w:tcPr>
            <w:tcW w:w="1996" w:type="dxa"/>
          </w:tcPr>
          <w:p w:rsidR="00ED38BD" w:rsidRPr="00B7656B" w:rsidRDefault="003704CC" w:rsidP="0052490B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47,978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30,084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</w:tcPr>
          <w:p w:rsidR="00ED38BD" w:rsidRPr="00B7656B" w:rsidRDefault="00004870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0,4305</w:t>
            </w:r>
          </w:p>
        </w:tc>
      </w:tr>
      <w:tr w:rsidR="00ED38BD" w:rsidRPr="00B7656B" w:rsidTr="00ED38BD">
        <w:tc>
          <w:tcPr>
            <w:tcW w:w="2227" w:type="dxa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both"/>
              <w:rPr>
                <w:bCs/>
                <w:sz w:val="22"/>
                <w:szCs w:val="22"/>
              </w:rPr>
            </w:pPr>
            <w:r w:rsidRPr="00B7656B">
              <w:rPr>
                <w:bCs/>
                <w:sz w:val="22"/>
                <w:szCs w:val="22"/>
              </w:rPr>
              <w:t>СН1</w:t>
            </w:r>
          </w:p>
        </w:tc>
        <w:tc>
          <w:tcPr>
            <w:tcW w:w="1996" w:type="dxa"/>
          </w:tcPr>
          <w:p w:rsidR="00ED38BD" w:rsidRPr="00B7656B" w:rsidRDefault="003704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1,016</w:t>
            </w:r>
          </w:p>
        </w:tc>
        <w:tc>
          <w:tcPr>
            <w:tcW w:w="1626" w:type="dxa"/>
          </w:tcPr>
          <w:p w:rsidR="00ED38BD" w:rsidRPr="00B7656B" w:rsidRDefault="00A005CC" w:rsidP="00A005CC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9,714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</w:tcPr>
          <w:p w:rsidR="00ED38BD" w:rsidRPr="00B7656B" w:rsidRDefault="00004870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1,8174</w:t>
            </w:r>
          </w:p>
        </w:tc>
      </w:tr>
      <w:tr w:rsidR="00ED38BD" w:rsidRPr="00B7656B" w:rsidTr="00ED38BD">
        <w:tc>
          <w:tcPr>
            <w:tcW w:w="2227" w:type="dxa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both"/>
              <w:rPr>
                <w:bCs/>
                <w:sz w:val="22"/>
                <w:szCs w:val="22"/>
              </w:rPr>
            </w:pPr>
            <w:r w:rsidRPr="00B7656B">
              <w:rPr>
                <w:bCs/>
                <w:sz w:val="22"/>
                <w:szCs w:val="22"/>
              </w:rPr>
              <w:t>СН2</w:t>
            </w:r>
          </w:p>
        </w:tc>
        <w:tc>
          <w:tcPr>
            <w:tcW w:w="1996" w:type="dxa"/>
          </w:tcPr>
          <w:p w:rsidR="00ED38BD" w:rsidRPr="00B7656B" w:rsidRDefault="003704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0,564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9,401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</w:tcPr>
          <w:p w:rsidR="00ED38BD" w:rsidRPr="00B7656B" w:rsidRDefault="00004870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1,2243</w:t>
            </w:r>
          </w:p>
        </w:tc>
      </w:tr>
      <w:tr w:rsidR="00ED38BD" w:rsidRPr="00B7656B" w:rsidTr="00ED38BD">
        <w:tc>
          <w:tcPr>
            <w:tcW w:w="2227" w:type="dxa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both"/>
              <w:rPr>
                <w:bCs/>
                <w:sz w:val="22"/>
                <w:szCs w:val="22"/>
              </w:rPr>
            </w:pPr>
            <w:r w:rsidRPr="00B7656B">
              <w:rPr>
                <w:bCs/>
                <w:sz w:val="22"/>
                <w:szCs w:val="22"/>
              </w:rPr>
              <w:t>НН</w:t>
            </w:r>
          </w:p>
        </w:tc>
        <w:tc>
          <w:tcPr>
            <w:tcW w:w="1996" w:type="dxa"/>
          </w:tcPr>
          <w:p w:rsidR="00ED38BD" w:rsidRPr="00B7656B" w:rsidRDefault="003704CC" w:rsidP="0052490B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0,359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</w:tcPr>
          <w:p w:rsidR="00ED38BD" w:rsidRPr="00B7656B" w:rsidRDefault="00004870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0,0508</w:t>
            </w:r>
          </w:p>
        </w:tc>
      </w:tr>
      <w:tr w:rsidR="00ED38BD" w:rsidRPr="00B7656B" w:rsidTr="00ED38BD">
        <w:tc>
          <w:tcPr>
            <w:tcW w:w="2227" w:type="dxa"/>
          </w:tcPr>
          <w:p w:rsidR="00ED38BD" w:rsidRPr="00B7656B" w:rsidRDefault="00ED38BD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both"/>
              <w:rPr>
                <w:bCs/>
                <w:sz w:val="22"/>
                <w:szCs w:val="22"/>
              </w:rPr>
            </w:pPr>
            <w:r w:rsidRPr="00B7656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9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49,558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49,558</w:t>
            </w:r>
          </w:p>
        </w:tc>
        <w:tc>
          <w:tcPr>
            <w:tcW w:w="1626" w:type="dxa"/>
          </w:tcPr>
          <w:p w:rsidR="00ED38BD" w:rsidRPr="00B7656B" w:rsidRDefault="00A005CC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</w:tcPr>
          <w:p w:rsidR="00ED38BD" w:rsidRPr="00B7656B" w:rsidRDefault="00004870" w:rsidP="0052490B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3,523</w:t>
            </w:r>
          </w:p>
        </w:tc>
      </w:tr>
    </w:tbl>
    <w:p w:rsidR="00695ACD" w:rsidRDefault="00695ACD" w:rsidP="002E0A77">
      <w:pPr>
        <w:widowControl w:val="0"/>
        <w:autoSpaceDE w:val="0"/>
        <w:autoSpaceDN w:val="0"/>
        <w:adjustRightInd w:val="0"/>
        <w:spacing w:before="100" w:beforeAutospacing="1"/>
        <w:contextualSpacing/>
        <w:mirrorIndents/>
        <w:rPr>
          <w:b/>
        </w:rPr>
      </w:pPr>
    </w:p>
    <w:p w:rsidR="000C2FBD" w:rsidRDefault="000C2FBD" w:rsidP="000C2FBD">
      <w:pPr>
        <w:pStyle w:val="a4"/>
        <w:jc w:val="both"/>
        <w:rPr>
          <w:color w:val="333333"/>
        </w:rPr>
      </w:pPr>
      <w:r>
        <w:rPr>
          <w:color w:val="333333"/>
        </w:rPr>
        <w:t>АО «</w:t>
      </w:r>
      <w:proofErr w:type="spellStart"/>
      <w:r>
        <w:rPr>
          <w:color w:val="333333"/>
        </w:rPr>
        <w:t>Татнефтепром-Зюзеевнефть</w:t>
      </w:r>
      <w:proofErr w:type="spellEnd"/>
      <w:r>
        <w:rPr>
          <w:color w:val="333333"/>
        </w:rPr>
        <w:t>» является территориальной сетевой организацией, оказывающей услуги по передаче электрической энергии на территории Республики Татарстан. Перечень зон деятельности АО «</w:t>
      </w:r>
      <w:proofErr w:type="spellStart"/>
      <w:r>
        <w:rPr>
          <w:color w:val="333333"/>
        </w:rPr>
        <w:t>Татнефтепром-Зюзеевнефть</w:t>
      </w:r>
      <w:proofErr w:type="spellEnd"/>
      <w:r>
        <w:rPr>
          <w:color w:val="333333"/>
        </w:rPr>
        <w:t xml:space="preserve">»: </w:t>
      </w:r>
      <w:r w:rsidRPr="007D7445">
        <w:t>Р</w:t>
      </w:r>
      <w:r>
        <w:t xml:space="preserve">еспублика </w:t>
      </w:r>
      <w:r w:rsidRPr="007D7445">
        <w:t>Т</w:t>
      </w:r>
      <w:r>
        <w:t>атарстан</w:t>
      </w:r>
      <w:r w:rsidRPr="007D7445">
        <w:t xml:space="preserve">, </w:t>
      </w:r>
      <w:proofErr w:type="spellStart"/>
      <w:r w:rsidRPr="007D7445">
        <w:t>Нурлатский</w:t>
      </w:r>
      <w:proofErr w:type="spellEnd"/>
      <w:r w:rsidRPr="007D7445">
        <w:t xml:space="preserve"> р-н, с. </w:t>
      </w:r>
      <w:proofErr w:type="spellStart"/>
      <w:r w:rsidRPr="007D7445">
        <w:t>Мамыково</w:t>
      </w:r>
      <w:proofErr w:type="spellEnd"/>
      <w:r>
        <w:t>.</w:t>
      </w:r>
    </w:p>
    <w:p w:rsidR="00B43BAB" w:rsidRPr="000C2FBD" w:rsidRDefault="000C2FBD" w:rsidP="000C2FB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E212CF">
        <w:t xml:space="preserve">       </w:t>
      </w:r>
      <w:r>
        <w:t>АО «</w:t>
      </w:r>
      <w:proofErr w:type="spellStart"/>
      <w:r>
        <w:t>Татнефтепром-Зюзеевнефть</w:t>
      </w:r>
      <w:proofErr w:type="spellEnd"/>
      <w:r>
        <w:t xml:space="preserve">» обладает сетями </w:t>
      </w:r>
      <w:r w:rsidRPr="00E212CF">
        <w:t>и подстанцией (</w:t>
      </w:r>
      <w:proofErr w:type="spellStart"/>
      <w:r w:rsidRPr="00E212CF">
        <w:t>Мамыково</w:t>
      </w:r>
      <w:proofErr w:type="spellEnd"/>
      <w:r w:rsidRPr="00E212CF">
        <w:t xml:space="preserve">)110/35/10 </w:t>
      </w:r>
      <w:proofErr w:type="spellStart"/>
      <w:r w:rsidRPr="00E212CF">
        <w:t>кВ.</w:t>
      </w:r>
      <w:proofErr w:type="spellEnd"/>
    </w:p>
    <w:p w:rsidR="006223E6" w:rsidRDefault="00B43BAB" w:rsidP="006223E6">
      <w:pPr>
        <w:widowControl w:val="0"/>
        <w:autoSpaceDE w:val="0"/>
        <w:autoSpaceDN w:val="0"/>
        <w:adjustRightInd w:val="0"/>
        <w:spacing w:before="40"/>
        <w:ind w:left="200"/>
        <w:jc w:val="both"/>
        <w:rPr>
          <w:noProof/>
        </w:rPr>
      </w:pPr>
      <w:r w:rsidRPr="00B43BAB">
        <w:rPr>
          <w:noProof/>
        </w:rPr>
        <w:t>По итогам 201</w:t>
      </w:r>
      <w:r>
        <w:rPr>
          <w:noProof/>
        </w:rPr>
        <w:t>7</w:t>
      </w:r>
      <w:r w:rsidRPr="00B43BAB">
        <w:rPr>
          <w:noProof/>
        </w:rPr>
        <w:t xml:space="preserve"> года, аварийных отключений, в сетях ОАО «Татнефтепром-Зюзеевнефть», не было. </w:t>
      </w:r>
    </w:p>
    <w:p w:rsidR="006223E6" w:rsidRPr="00B7656B" w:rsidRDefault="006223E6" w:rsidP="006223E6">
      <w:pPr>
        <w:pStyle w:val="a4"/>
        <w:ind w:firstLine="567"/>
        <w:jc w:val="both"/>
        <w:rPr>
          <w:color w:val="333333"/>
        </w:rPr>
      </w:pPr>
      <w:r>
        <w:rPr>
          <w:color w:val="333333"/>
        </w:rPr>
        <w:t xml:space="preserve">Норматив потерь электроэнергии </w:t>
      </w:r>
      <w:r>
        <w:t>АО «</w:t>
      </w:r>
      <w:proofErr w:type="spellStart"/>
      <w:r>
        <w:t>Татнефтепром-Зюзеевнефть</w:t>
      </w:r>
      <w:proofErr w:type="spellEnd"/>
      <w:r>
        <w:t xml:space="preserve">» </w:t>
      </w:r>
      <w:r>
        <w:rPr>
          <w:color w:val="333333"/>
        </w:rPr>
        <w:t>на 2017 год в Министерстве Энергетики РФ не утверждался. </w:t>
      </w:r>
    </w:p>
    <w:p w:rsidR="006223E6" w:rsidRPr="00004870" w:rsidRDefault="006223E6" w:rsidP="006223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004870">
        <w:rPr>
          <w:bCs/>
        </w:rPr>
        <w:t xml:space="preserve">         АО «</w:t>
      </w:r>
      <w:proofErr w:type="spellStart"/>
      <w:r w:rsidRPr="00004870">
        <w:rPr>
          <w:bCs/>
        </w:rPr>
        <w:t>Татнефтепром-Зюзеевнефть</w:t>
      </w:r>
      <w:proofErr w:type="spellEnd"/>
      <w:r w:rsidRPr="00004870">
        <w:rPr>
          <w:bCs/>
        </w:rPr>
        <w:t xml:space="preserve">» не имеет заключенного договора на покупку потерь электрической энергии. </w:t>
      </w:r>
    </w:p>
    <w:p w:rsidR="006223E6" w:rsidRPr="006223E6" w:rsidRDefault="006223E6" w:rsidP="006223E6">
      <w:pPr>
        <w:pStyle w:val="a4"/>
        <w:jc w:val="both"/>
        <w:rPr>
          <w:color w:val="333333"/>
        </w:rPr>
      </w:pPr>
      <w:r w:rsidRPr="006116F4">
        <w:rPr>
          <w:color w:val="333333"/>
        </w:rPr>
        <w:lastRenderedPageBreak/>
        <w:t>Информацией о размере потерь, оплачиваемых покупателями при осуществлении расчетов за электрическую э</w:t>
      </w:r>
      <w:r>
        <w:rPr>
          <w:color w:val="333333"/>
        </w:rPr>
        <w:t xml:space="preserve">нергию по уровням напряжения, </w:t>
      </w:r>
      <w:r w:rsidRPr="00004870">
        <w:rPr>
          <w:bCs/>
        </w:rPr>
        <w:t>АО «</w:t>
      </w:r>
      <w:proofErr w:type="spellStart"/>
      <w:r w:rsidRPr="00004870">
        <w:rPr>
          <w:bCs/>
        </w:rPr>
        <w:t>Татнефтепром-Зюзеевнефть</w:t>
      </w:r>
      <w:proofErr w:type="spellEnd"/>
      <w:r w:rsidRPr="00004870">
        <w:rPr>
          <w:bCs/>
        </w:rPr>
        <w:t xml:space="preserve">» </w:t>
      </w:r>
      <w:r w:rsidRPr="006116F4">
        <w:rPr>
          <w:color w:val="333333"/>
        </w:rPr>
        <w:t>не обладает</w:t>
      </w:r>
      <w:r>
        <w:rPr>
          <w:color w:val="333333"/>
        </w:rPr>
        <w:t>.</w:t>
      </w:r>
    </w:p>
    <w:p w:rsidR="008A6947" w:rsidRPr="008A6947" w:rsidRDefault="009F1CC1" w:rsidP="002E0A77">
      <w:pPr>
        <w:widowControl w:val="0"/>
        <w:autoSpaceDE w:val="0"/>
        <w:autoSpaceDN w:val="0"/>
        <w:adjustRightInd w:val="0"/>
        <w:spacing w:before="40"/>
        <w:ind w:left="106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График ППР электрооборудования </w:t>
      </w:r>
      <w:r w:rsidR="008A6947" w:rsidRPr="008A6947">
        <w:rPr>
          <w:b/>
          <w:i/>
          <w:sz w:val="22"/>
          <w:szCs w:val="22"/>
        </w:rPr>
        <w:t>АО «</w:t>
      </w:r>
      <w:proofErr w:type="spellStart"/>
      <w:r w:rsidR="008A6947" w:rsidRPr="008A6947">
        <w:rPr>
          <w:b/>
          <w:i/>
          <w:sz w:val="22"/>
          <w:szCs w:val="22"/>
        </w:rPr>
        <w:t>Татнефтепром-Зюзеевнефть</w:t>
      </w:r>
      <w:proofErr w:type="spellEnd"/>
      <w:r w:rsidR="008A6947" w:rsidRPr="008A6947">
        <w:rPr>
          <w:b/>
          <w:i/>
          <w:sz w:val="22"/>
          <w:szCs w:val="22"/>
        </w:rPr>
        <w:t>»</w:t>
      </w:r>
      <w:r w:rsidR="008A6947" w:rsidRPr="002E0A77">
        <w:rPr>
          <w:b/>
          <w:i/>
          <w:sz w:val="22"/>
          <w:szCs w:val="22"/>
        </w:rPr>
        <w:t xml:space="preserve"> на 2018</w:t>
      </w:r>
      <w:r w:rsidR="008A6947" w:rsidRPr="008A6947">
        <w:rPr>
          <w:b/>
          <w:i/>
          <w:sz w:val="22"/>
          <w:szCs w:val="22"/>
        </w:rPr>
        <w:t xml:space="preserve"> год</w:t>
      </w:r>
    </w:p>
    <w:p w:rsidR="008A6947" w:rsidRPr="008A6947" w:rsidRDefault="008A6947" w:rsidP="008A6947">
      <w:pPr>
        <w:widowControl w:val="0"/>
        <w:autoSpaceDE w:val="0"/>
        <w:autoSpaceDN w:val="0"/>
        <w:adjustRightInd w:val="0"/>
        <w:spacing w:before="40"/>
        <w:ind w:left="1069"/>
        <w:jc w:val="both"/>
        <w:rPr>
          <w:sz w:val="22"/>
          <w:szCs w:val="22"/>
        </w:rPr>
      </w:pPr>
    </w:p>
    <w:tbl>
      <w:tblPr>
        <w:tblStyle w:val="1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5"/>
      </w:tblGrid>
      <w:tr w:rsidR="008A6947" w:rsidRPr="00937205" w:rsidTr="00937205">
        <w:tc>
          <w:tcPr>
            <w:tcW w:w="426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№</w:t>
            </w:r>
          </w:p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п/п</w:t>
            </w:r>
          </w:p>
        </w:tc>
        <w:tc>
          <w:tcPr>
            <w:tcW w:w="2835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Типы оборудования</w:t>
            </w:r>
          </w:p>
        </w:tc>
        <w:tc>
          <w:tcPr>
            <w:tcW w:w="426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 xml:space="preserve">Ед.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Кол-во</w:t>
            </w:r>
          </w:p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937205">
              <w:rPr>
                <w:rFonts w:cstheme="minorHAnsi"/>
                <w:sz w:val="16"/>
                <w:szCs w:val="16"/>
              </w:rPr>
              <w:t>оборуд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Фев.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Март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Июнь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Июль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937205">
              <w:rPr>
                <w:rFonts w:cstheme="minorHAnsi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425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Сент.</w:t>
            </w:r>
          </w:p>
        </w:tc>
        <w:tc>
          <w:tcPr>
            <w:tcW w:w="425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Окт.</w:t>
            </w:r>
          </w:p>
        </w:tc>
        <w:tc>
          <w:tcPr>
            <w:tcW w:w="567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37205">
              <w:rPr>
                <w:rFonts w:cstheme="minorHAnsi"/>
                <w:b/>
                <w:sz w:val="16"/>
                <w:szCs w:val="16"/>
              </w:rPr>
              <w:t>Нояб</w:t>
            </w:r>
            <w:proofErr w:type="spellEnd"/>
            <w:r w:rsidRPr="00937205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8A6947" w:rsidRPr="00937205" w:rsidRDefault="008A6947" w:rsidP="008A6947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37205">
              <w:rPr>
                <w:rFonts w:cstheme="minorHAnsi"/>
                <w:b/>
                <w:sz w:val="16"/>
                <w:szCs w:val="16"/>
              </w:rPr>
              <w:t>Дек.</w:t>
            </w:r>
          </w:p>
        </w:tc>
      </w:tr>
      <w:tr w:rsidR="00937205" w:rsidRPr="00937205" w:rsidTr="009372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 xml:space="preserve">ВЛ 110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Двухцепная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 xml:space="preserve">ВЛ 35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 xml:space="preserve"> Нурлат-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Мамыково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 xml:space="preserve">ВЛ 35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Мамыково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 xml:space="preserve">-Новое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Альметьево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Силовой трансформатор 10 000 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кВа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(110 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>) №1,2 ПС-110/35/10кВ "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Мамыково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7205" w:rsidRPr="00937205" w:rsidTr="00FB761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КТП-63 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кВА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10/0,4кВ ТСН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Разъединитель 110кВ РЛНДЗ-110кВ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Разъединитель 35кВ РНДЗ-1-35-630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Разъединитель 110кВ РГП-110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Опорные изоляторы ИОС-110/35 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Элегазовый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выключатель ВГТ-110кВ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FB7611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Реклоузер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SMART</w:t>
            </w:r>
            <w:r w:rsidR="00937205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="00937205" w:rsidRPr="00937205">
              <w:rPr>
                <w:rFonts w:cstheme="minorHAnsi"/>
                <w:color w:val="000000"/>
                <w:sz w:val="16"/>
                <w:szCs w:val="16"/>
              </w:rPr>
              <w:t>35кВ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ОПН-110кВ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Разрядник РВС-35кВ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Измерит. транс-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ры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 xml:space="preserve"> тока  ТФЗМ-110кВ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Измерит. транс-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ры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37205">
              <w:rPr>
                <w:rFonts w:cstheme="minorHAnsi"/>
                <w:sz w:val="16"/>
                <w:szCs w:val="16"/>
              </w:rPr>
              <w:t>напряж</w:t>
            </w:r>
            <w:proofErr w:type="spellEnd"/>
            <w:r w:rsidRPr="00937205">
              <w:rPr>
                <w:rFonts w:cstheme="minorHAnsi"/>
                <w:sz w:val="16"/>
                <w:szCs w:val="16"/>
              </w:rPr>
              <w:t xml:space="preserve">  НКФ-110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Измерит. транс-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ры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тока ТФЗМ-35кВ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Измерит. транс-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ры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напряж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 ЗНОМ, НАМИ-35кВ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Трансформатор напряжения НАМИТ-6(10)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Ячейка 6(10)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-вводная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Ячейка 6(10)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- секционная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Ячейка 6(10)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отходящяя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(двигательная)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7205">
              <w:rPr>
                <w:rFonts w:cstheme="minorHAnsi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Ячейка 6(10)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-НТМИ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Ячейка 6(10)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-ТСН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37205" w:rsidRPr="00937205" w:rsidTr="00937205">
        <w:trPr>
          <w:trHeight w:val="240"/>
        </w:trPr>
        <w:tc>
          <w:tcPr>
            <w:tcW w:w="426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hideMark/>
          </w:tcPr>
          <w:p w:rsidR="00937205" w:rsidRPr="00937205" w:rsidRDefault="00937205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Реклоузер</w:t>
            </w:r>
            <w:proofErr w:type="spellEnd"/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26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rPr>
          <w:trHeight w:val="255"/>
        </w:trPr>
        <w:tc>
          <w:tcPr>
            <w:tcW w:w="426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hideMark/>
          </w:tcPr>
          <w:p w:rsidR="00937205" w:rsidRPr="00937205" w:rsidRDefault="00937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 xml:space="preserve">ВЛБ 10 </w:t>
            </w:r>
            <w:proofErr w:type="spellStart"/>
            <w:r w:rsidRPr="00937205">
              <w:rPr>
                <w:rFonts w:cstheme="minorHAnsi"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26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  <w:tc>
          <w:tcPr>
            <w:tcW w:w="425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937205" w:rsidRPr="00937205" w:rsidRDefault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37205">
              <w:rPr>
                <w:rFonts w:cstheme="minorHAnsi"/>
                <w:color w:val="000000"/>
                <w:sz w:val="16"/>
                <w:szCs w:val="16"/>
              </w:rPr>
              <w:t>ТО</w:t>
            </w:r>
          </w:p>
        </w:tc>
      </w:tr>
      <w:tr w:rsidR="00937205" w:rsidRPr="00937205" w:rsidTr="009372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5" w:rsidRPr="00937205" w:rsidRDefault="00937205" w:rsidP="0093720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FD146F" w:rsidRDefault="00FD146F" w:rsidP="006223E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0" w:name="sub_12112109"/>
    </w:p>
    <w:p w:rsidR="00FD146F" w:rsidRDefault="00FD146F" w:rsidP="006223E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223E6" w:rsidRPr="006223E6" w:rsidRDefault="006223E6" w:rsidP="006223E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6223E6">
        <w:rPr>
          <w:b/>
          <w:sz w:val="26"/>
          <w:szCs w:val="26"/>
        </w:rPr>
        <w:t>Информация о перечне мероприятий по снижению размеров потерь в сетях, а также</w:t>
      </w:r>
    </w:p>
    <w:p w:rsidR="006223E6" w:rsidRPr="006223E6" w:rsidRDefault="006223E6" w:rsidP="006223E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6223E6">
        <w:rPr>
          <w:b/>
          <w:sz w:val="26"/>
          <w:szCs w:val="26"/>
        </w:rPr>
        <w:t>о сроках их исполнения и источниках финансирования.</w:t>
      </w:r>
    </w:p>
    <w:p w:rsidR="006223E6" w:rsidRPr="006223E6" w:rsidRDefault="006223E6" w:rsidP="006223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6223E6">
        <w:rPr>
          <w:sz w:val="26"/>
          <w:szCs w:val="26"/>
        </w:rPr>
        <w:t>АО «</w:t>
      </w:r>
      <w:proofErr w:type="spellStart"/>
      <w:r w:rsidRPr="006223E6">
        <w:rPr>
          <w:sz w:val="26"/>
          <w:szCs w:val="26"/>
        </w:rPr>
        <w:t>Татнефтепром</w:t>
      </w:r>
      <w:proofErr w:type="spellEnd"/>
      <w:r w:rsidRPr="006223E6">
        <w:rPr>
          <w:sz w:val="26"/>
          <w:szCs w:val="26"/>
        </w:rPr>
        <w:t xml:space="preserve"> - </w:t>
      </w:r>
      <w:proofErr w:type="spellStart"/>
      <w:r w:rsidRPr="006223E6">
        <w:rPr>
          <w:sz w:val="26"/>
          <w:szCs w:val="26"/>
        </w:rPr>
        <w:t>Зюзеевнефть</w:t>
      </w:r>
      <w:proofErr w:type="spellEnd"/>
      <w:r w:rsidRPr="006223E6">
        <w:rPr>
          <w:sz w:val="26"/>
          <w:szCs w:val="26"/>
        </w:rPr>
        <w:t>».</w:t>
      </w:r>
    </w:p>
    <w:p w:rsidR="006223E6" w:rsidRPr="006223E6" w:rsidRDefault="006223E6" w:rsidP="006223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6223E6">
        <w:rPr>
          <w:sz w:val="26"/>
          <w:szCs w:val="26"/>
        </w:rPr>
        <w:t>2017 г.</w:t>
      </w:r>
    </w:p>
    <w:p w:rsidR="006223E6" w:rsidRPr="006223E6" w:rsidRDefault="006223E6" w:rsidP="006223E6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5567"/>
        <w:gridCol w:w="3261"/>
      </w:tblGrid>
      <w:tr w:rsidR="006223E6" w:rsidRPr="006223E6" w:rsidTr="00361EFB">
        <w:trPr>
          <w:trHeight w:val="386"/>
          <w:jc w:val="center"/>
        </w:trPr>
        <w:tc>
          <w:tcPr>
            <w:tcW w:w="942" w:type="dxa"/>
          </w:tcPr>
          <w:bookmarkEnd w:id="0"/>
          <w:p w:rsidR="006223E6" w:rsidRPr="006223E6" w:rsidRDefault="006223E6" w:rsidP="00361EFB">
            <w:pPr>
              <w:spacing w:line="276" w:lineRule="auto"/>
            </w:pPr>
            <w:r w:rsidRPr="006223E6">
              <w:t>№ п/п</w:t>
            </w:r>
          </w:p>
          <w:p w:rsidR="006223E6" w:rsidRPr="006223E6" w:rsidRDefault="006223E6" w:rsidP="00361EFB">
            <w:pPr>
              <w:spacing w:line="276" w:lineRule="auto"/>
              <w:jc w:val="both"/>
            </w:pP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Срок исполнения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both"/>
            </w:pP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  <w:rPr>
                <w:b/>
              </w:rPr>
            </w:pPr>
            <w:r w:rsidRPr="006223E6">
              <w:rPr>
                <w:b/>
              </w:rPr>
              <w:t>Организационные мероприятия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1.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</w:pPr>
            <w:r w:rsidRPr="006223E6">
              <w:t xml:space="preserve">Снижение расхода </w:t>
            </w:r>
            <w:proofErr w:type="spellStart"/>
            <w:r w:rsidRPr="006223E6">
              <w:t>эл.энергии</w:t>
            </w:r>
            <w:proofErr w:type="spellEnd"/>
            <w:r w:rsidRPr="006223E6">
              <w:t xml:space="preserve"> на собственные нужды на ПС 110-500 </w:t>
            </w:r>
            <w:proofErr w:type="spellStart"/>
            <w:r w:rsidRPr="006223E6">
              <w:t>кВ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</w:p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с 01.10.2017 по 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2.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tabs>
                <w:tab w:val="left" w:pos="660"/>
              </w:tabs>
              <w:spacing w:line="276" w:lineRule="auto"/>
            </w:pPr>
            <w:r w:rsidRPr="006223E6">
              <w:t>Отключение в режимах малых нагрузок трансформаторов в ТП с двумя и более трансформаторами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3.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tabs>
                <w:tab w:val="left" w:pos="1155"/>
              </w:tabs>
              <w:spacing w:line="276" w:lineRule="auto"/>
            </w:pPr>
            <w:r w:rsidRPr="006223E6">
              <w:t>Выравнивание нагрузок фаз в электрических сетях 0,38кВ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4.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</w:pPr>
            <w:r w:rsidRPr="006223E6">
              <w:t xml:space="preserve">Проведение рейдов по выявлению неучтенной </w:t>
            </w:r>
            <w:proofErr w:type="spellStart"/>
            <w:r w:rsidRPr="006223E6">
              <w:t>эл.энергии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5.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</w:pPr>
            <w:r w:rsidRPr="006223E6">
              <w:t xml:space="preserve">Увеличение объема оказанных услуг по передаче </w:t>
            </w:r>
            <w:proofErr w:type="spellStart"/>
            <w:r w:rsidRPr="006223E6">
              <w:t>эл.энергии</w:t>
            </w:r>
            <w:proofErr w:type="spellEnd"/>
            <w:r w:rsidRPr="006223E6">
              <w:t xml:space="preserve"> за счет выявления неучтенного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6.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</w:pPr>
            <w:r w:rsidRPr="006223E6">
              <w:t>Выполнение графика обследования приборов учета у юридических лиц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both"/>
            </w:pP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  <w:rPr>
                <w:b/>
              </w:rPr>
            </w:pPr>
            <w:r w:rsidRPr="006223E6">
              <w:rPr>
                <w:b/>
              </w:rPr>
              <w:t>Мероприятия по совершенствованию систем расчетного и технического учета электроэнергии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1.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</w:pPr>
            <w:r w:rsidRPr="006223E6">
              <w:t>Маркирование и пломбирование средств учета электроэнергии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с 01.02.2017 по 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2.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tabs>
                <w:tab w:val="left" w:pos="780"/>
              </w:tabs>
              <w:spacing w:line="276" w:lineRule="auto"/>
            </w:pPr>
            <w:r w:rsidRPr="006223E6">
              <w:t>Маркирование средств учета электроэнергии средствами визуального контроля (пломбой-наклейкой)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с 01.02.2017 по 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3.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tabs>
                <w:tab w:val="left" w:pos="780"/>
              </w:tabs>
              <w:spacing w:line="276" w:lineRule="auto"/>
            </w:pPr>
            <w:r w:rsidRPr="006223E6">
              <w:t>Пломбирование средств учета электроэнергии номерными одноразовыми пломбами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с 01.02.2017 по 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4.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</w:pPr>
            <w:r w:rsidRPr="006223E6">
              <w:t>Замена (установка) трансформаторов тока 0,4кВ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с 01.02.2017 по 31.12.2017</w:t>
            </w:r>
          </w:p>
        </w:tc>
      </w:tr>
      <w:tr w:rsidR="006223E6" w:rsidRPr="006223E6" w:rsidTr="00361EFB">
        <w:trPr>
          <w:trHeight w:val="411"/>
          <w:jc w:val="center"/>
        </w:trPr>
        <w:tc>
          <w:tcPr>
            <w:tcW w:w="942" w:type="dxa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5.</w:t>
            </w:r>
          </w:p>
        </w:tc>
        <w:tc>
          <w:tcPr>
            <w:tcW w:w="5567" w:type="dxa"/>
            <w:shd w:val="clear" w:color="auto" w:fill="auto"/>
          </w:tcPr>
          <w:p w:rsidR="006223E6" w:rsidRPr="006223E6" w:rsidRDefault="006223E6" w:rsidP="00361EFB">
            <w:pPr>
              <w:tabs>
                <w:tab w:val="left" w:pos="1215"/>
              </w:tabs>
              <w:spacing w:line="276" w:lineRule="auto"/>
            </w:pPr>
            <w:r w:rsidRPr="006223E6">
              <w:t>Замена (установка) электросчетчиков с просроченным клеймом поверки, неисправных и подряд устаревших</w:t>
            </w:r>
          </w:p>
        </w:tc>
        <w:tc>
          <w:tcPr>
            <w:tcW w:w="3261" w:type="dxa"/>
            <w:shd w:val="clear" w:color="auto" w:fill="auto"/>
          </w:tcPr>
          <w:p w:rsidR="006223E6" w:rsidRPr="006223E6" w:rsidRDefault="006223E6" w:rsidP="00361EFB">
            <w:pPr>
              <w:spacing w:line="276" w:lineRule="auto"/>
              <w:jc w:val="center"/>
            </w:pPr>
            <w:r w:rsidRPr="006223E6">
              <w:t>с 01.02.2017 по 31.12.2017</w:t>
            </w:r>
          </w:p>
        </w:tc>
      </w:tr>
    </w:tbl>
    <w:p w:rsidR="006223E6" w:rsidRDefault="006223E6" w:rsidP="006223E6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</w:p>
    <w:p w:rsidR="006223E6" w:rsidRDefault="006223E6" w:rsidP="006223E6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* Источником финансирования мероприятий по снижению потерь в сетях являются собственные средства предприятия (в пределах тарифных источников)</w:t>
      </w:r>
    </w:p>
    <w:p w:rsidR="00B43BAB" w:rsidRPr="006223E6" w:rsidRDefault="00B43BAB" w:rsidP="006223E6">
      <w:pPr>
        <w:widowControl w:val="0"/>
        <w:autoSpaceDE w:val="0"/>
        <w:autoSpaceDN w:val="0"/>
        <w:adjustRightInd w:val="0"/>
        <w:spacing w:before="40"/>
        <w:jc w:val="both"/>
        <w:rPr>
          <w:noProof/>
        </w:rPr>
      </w:pPr>
    </w:p>
    <w:p w:rsidR="000315C8" w:rsidRDefault="000315C8" w:rsidP="00124742">
      <w:pPr>
        <w:pStyle w:val="a4"/>
        <w:jc w:val="both"/>
        <w:rPr>
          <w:rStyle w:val="a5"/>
        </w:rPr>
      </w:pPr>
      <w:r>
        <w:rPr>
          <w:rStyle w:val="a5"/>
        </w:rPr>
        <w:t>11в – о наличие (об отсутствии) технической возможности доступа к регулируемым товарам (работам, услугам) субъектов естественных монополий</w:t>
      </w:r>
    </w:p>
    <w:p w:rsidR="00ED38BD" w:rsidRDefault="00ED38BD" w:rsidP="00ED38BD">
      <w:pPr>
        <w:pStyle w:val="a4"/>
        <w:jc w:val="center"/>
        <w:rPr>
          <w:color w:val="333333"/>
        </w:rPr>
      </w:pPr>
      <w:r>
        <w:rPr>
          <w:color w:val="333333"/>
        </w:rPr>
        <w:t xml:space="preserve"> Сведения о технологической возможности присоединения к эл/сетям </w:t>
      </w:r>
      <w:r w:rsidR="002E0A77" w:rsidRPr="00004870">
        <w:rPr>
          <w:bCs/>
        </w:rPr>
        <w:t>АО «</w:t>
      </w:r>
      <w:proofErr w:type="spellStart"/>
      <w:r w:rsidR="002E0A77" w:rsidRPr="00004870">
        <w:rPr>
          <w:bCs/>
        </w:rPr>
        <w:t>Татнефтепром-Зюзеевнефть</w:t>
      </w:r>
      <w:proofErr w:type="spellEnd"/>
      <w:r w:rsidR="002E0A77" w:rsidRPr="00004870">
        <w:rPr>
          <w:bCs/>
        </w:rPr>
        <w:t>»</w:t>
      </w:r>
      <w:r>
        <w:rPr>
          <w:color w:val="333333"/>
        </w:rPr>
        <w:t>:</w:t>
      </w:r>
    </w:p>
    <w:tbl>
      <w:tblPr>
        <w:tblW w:w="910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05"/>
        <w:gridCol w:w="1698"/>
        <w:gridCol w:w="1560"/>
        <w:gridCol w:w="1559"/>
      </w:tblGrid>
      <w:tr w:rsidR="002E0A77" w:rsidRPr="002E0A77" w:rsidTr="002E0A77">
        <w:trPr>
          <w:trHeight w:val="463"/>
        </w:trPr>
        <w:tc>
          <w:tcPr>
            <w:tcW w:w="2181" w:type="dxa"/>
            <w:vMerge w:val="restart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Наименование</w:t>
            </w:r>
          </w:p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объекта</w:t>
            </w:r>
          </w:p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Место нахождение, адрес</w:t>
            </w:r>
          </w:p>
        </w:tc>
        <w:tc>
          <w:tcPr>
            <w:tcW w:w="4817" w:type="dxa"/>
            <w:gridSpan w:val="3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 xml:space="preserve">Уровень напряжение, </w:t>
            </w:r>
            <w:proofErr w:type="spellStart"/>
            <w:r w:rsidRPr="002E0A77">
              <w:rPr>
                <w:sz w:val="22"/>
                <w:szCs w:val="22"/>
              </w:rPr>
              <w:t>кВ.</w:t>
            </w:r>
            <w:proofErr w:type="spellEnd"/>
          </w:p>
        </w:tc>
      </w:tr>
      <w:tr w:rsidR="002E0A77" w:rsidRPr="002E0A77" w:rsidTr="002E0A77">
        <w:trPr>
          <w:trHeight w:val="403"/>
        </w:trPr>
        <w:tc>
          <w:tcPr>
            <w:tcW w:w="2181" w:type="dxa"/>
            <w:vMerge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110</w:t>
            </w:r>
          </w:p>
        </w:tc>
      </w:tr>
      <w:tr w:rsidR="002E0A77" w:rsidRPr="002E0A77" w:rsidTr="002E0A77">
        <w:trPr>
          <w:trHeight w:val="382"/>
        </w:trPr>
        <w:tc>
          <w:tcPr>
            <w:tcW w:w="2181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Подстанция Мамыково110/35/10</w:t>
            </w:r>
          </w:p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 xml:space="preserve">с. </w:t>
            </w:r>
            <w:proofErr w:type="spellStart"/>
            <w:r w:rsidRPr="002E0A77">
              <w:rPr>
                <w:sz w:val="22"/>
                <w:szCs w:val="22"/>
              </w:rPr>
              <w:t>Мамыково</w:t>
            </w:r>
            <w:proofErr w:type="spellEnd"/>
          </w:p>
        </w:tc>
        <w:tc>
          <w:tcPr>
            <w:tcW w:w="1698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есть</w:t>
            </w:r>
          </w:p>
        </w:tc>
        <w:tc>
          <w:tcPr>
            <w:tcW w:w="1560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нет</w:t>
            </w:r>
          </w:p>
        </w:tc>
      </w:tr>
    </w:tbl>
    <w:p w:rsidR="002E0A77" w:rsidRPr="002E0A77" w:rsidRDefault="002E0A77" w:rsidP="002E0A77">
      <w:pPr>
        <w:widowControl w:val="0"/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p w:rsidR="002E0A77" w:rsidRPr="002E0A77" w:rsidRDefault="002E0A77" w:rsidP="002E0A77">
      <w:pPr>
        <w:widowControl w:val="0"/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</w:p>
    <w:tbl>
      <w:tblPr>
        <w:tblW w:w="910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05"/>
        <w:gridCol w:w="2945"/>
        <w:gridCol w:w="1872"/>
      </w:tblGrid>
      <w:tr w:rsidR="002E0A77" w:rsidRPr="002E0A77" w:rsidTr="002E0A77">
        <w:trPr>
          <w:trHeight w:val="463"/>
        </w:trPr>
        <w:tc>
          <w:tcPr>
            <w:tcW w:w="2181" w:type="dxa"/>
            <w:vMerge w:val="restart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Наименование</w:t>
            </w:r>
          </w:p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объекта</w:t>
            </w:r>
          </w:p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Место нахождение, адрес</w:t>
            </w:r>
          </w:p>
        </w:tc>
        <w:tc>
          <w:tcPr>
            <w:tcW w:w="4817" w:type="dxa"/>
            <w:gridSpan w:val="2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 xml:space="preserve">Уровень напряжение, </w:t>
            </w:r>
            <w:proofErr w:type="spellStart"/>
            <w:r w:rsidRPr="002E0A77">
              <w:rPr>
                <w:sz w:val="22"/>
                <w:szCs w:val="22"/>
              </w:rPr>
              <w:t>кВ.</w:t>
            </w:r>
            <w:proofErr w:type="spellEnd"/>
          </w:p>
        </w:tc>
      </w:tr>
      <w:tr w:rsidR="002E0A77" w:rsidRPr="002E0A77" w:rsidTr="002E0A77">
        <w:trPr>
          <w:trHeight w:val="403"/>
        </w:trPr>
        <w:tc>
          <w:tcPr>
            <w:tcW w:w="2181" w:type="dxa"/>
            <w:vMerge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0,4</w:t>
            </w:r>
          </w:p>
        </w:tc>
        <w:tc>
          <w:tcPr>
            <w:tcW w:w="1872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10</w:t>
            </w:r>
          </w:p>
        </w:tc>
      </w:tr>
      <w:tr w:rsidR="002E0A77" w:rsidRPr="002E0A77" w:rsidTr="002E0A77">
        <w:trPr>
          <w:trHeight w:val="499"/>
        </w:trPr>
        <w:tc>
          <w:tcPr>
            <w:tcW w:w="2181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2E0A77" w:rsidRPr="002E0A77" w:rsidTr="002E0A77">
        <w:trPr>
          <w:trHeight w:val="499"/>
        </w:trPr>
        <w:tc>
          <w:tcPr>
            <w:tcW w:w="2181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КТП-2465П</w:t>
            </w:r>
          </w:p>
        </w:tc>
        <w:tc>
          <w:tcPr>
            <w:tcW w:w="210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 xml:space="preserve">с. </w:t>
            </w:r>
            <w:proofErr w:type="spellStart"/>
            <w:r w:rsidRPr="002E0A77">
              <w:rPr>
                <w:sz w:val="22"/>
                <w:szCs w:val="22"/>
              </w:rPr>
              <w:t>Мамыково</w:t>
            </w:r>
            <w:proofErr w:type="spellEnd"/>
          </w:p>
        </w:tc>
        <w:tc>
          <w:tcPr>
            <w:tcW w:w="294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есть</w:t>
            </w:r>
          </w:p>
        </w:tc>
        <w:tc>
          <w:tcPr>
            <w:tcW w:w="1872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нет</w:t>
            </w:r>
          </w:p>
        </w:tc>
      </w:tr>
      <w:tr w:rsidR="002E0A77" w:rsidRPr="002E0A77" w:rsidTr="002E0A77">
        <w:trPr>
          <w:trHeight w:val="499"/>
        </w:trPr>
        <w:tc>
          <w:tcPr>
            <w:tcW w:w="2181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ind w:left="6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КТП-21П</w:t>
            </w:r>
          </w:p>
        </w:tc>
        <w:tc>
          <w:tcPr>
            <w:tcW w:w="210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 xml:space="preserve">с. </w:t>
            </w:r>
            <w:proofErr w:type="spellStart"/>
            <w:r w:rsidRPr="002E0A77">
              <w:rPr>
                <w:sz w:val="22"/>
                <w:szCs w:val="22"/>
              </w:rPr>
              <w:t>Мамыково</w:t>
            </w:r>
            <w:proofErr w:type="spellEnd"/>
          </w:p>
        </w:tc>
        <w:tc>
          <w:tcPr>
            <w:tcW w:w="2945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есть</w:t>
            </w:r>
          </w:p>
        </w:tc>
        <w:tc>
          <w:tcPr>
            <w:tcW w:w="1872" w:type="dxa"/>
          </w:tcPr>
          <w:p w:rsidR="002E0A77" w:rsidRPr="002E0A77" w:rsidRDefault="002E0A77" w:rsidP="002E0A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2E0A77">
              <w:rPr>
                <w:sz w:val="22"/>
                <w:szCs w:val="22"/>
              </w:rPr>
              <w:t>нет</w:t>
            </w:r>
          </w:p>
        </w:tc>
      </w:tr>
    </w:tbl>
    <w:p w:rsidR="002E0A77" w:rsidRDefault="002E0A77" w:rsidP="0087547A">
      <w:pPr>
        <w:pStyle w:val="a4"/>
        <w:jc w:val="both"/>
        <w:rPr>
          <w:color w:val="333333"/>
        </w:rPr>
      </w:pPr>
    </w:p>
    <w:p w:rsidR="006223E6" w:rsidRDefault="006223E6" w:rsidP="0087547A">
      <w:pPr>
        <w:pStyle w:val="a4"/>
        <w:jc w:val="both"/>
        <w:rPr>
          <w:color w:val="333333"/>
        </w:rPr>
      </w:pPr>
    </w:p>
    <w:p w:rsidR="0087547A" w:rsidRDefault="0087547A" w:rsidP="0087547A">
      <w:pPr>
        <w:pStyle w:val="a4"/>
        <w:jc w:val="both"/>
        <w:rPr>
          <w:color w:val="333333"/>
        </w:rPr>
      </w:pPr>
      <w:r>
        <w:rPr>
          <w:color w:val="333333"/>
        </w:rPr>
        <w:t xml:space="preserve">Сводные данные о поданных заявках на технологическое присоединение к эл/сетям и заключенных договорах об осуществлении технологического присоединения к эл/сетям: Сведения о технологической возможности присоединения к эл/сетям </w:t>
      </w:r>
      <w:r w:rsidR="000C2FBD" w:rsidRPr="00004870">
        <w:rPr>
          <w:bCs/>
        </w:rPr>
        <w:t>АО «</w:t>
      </w:r>
      <w:proofErr w:type="spellStart"/>
      <w:r w:rsidR="000C2FBD" w:rsidRPr="00004870">
        <w:rPr>
          <w:bCs/>
        </w:rPr>
        <w:t>Татнефтепром-Зюзеевнефть</w:t>
      </w:r>
      <w:proofErr w:type="spellEnd"/>
      <w:r w:rsidR="000C2FBD" w:rsidRPr="00004870">
        <w:rPr>
          <w:bCs/>
        </w:rPr>
        <w:t>»</w:t>
      </w:r>
    </w:p>
    <w:tbl>
      <w:tblPr>
        <w:tblW w:w="10773" w:type="dxa"/>
        <w:tblCellSpacing w:w="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</w:tblGrid>
      <w:tr w:rsidR="0087547A" w:rsidTr="00004870">
        <w:trPr>
          <w:trHeight w:val="615"/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Информация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Pr="003F7F7F" w:rsidRDefault="0087547A" w:rsidP="00004870">
            <w:pPr>
              <w:jc w:val="center"/>
              <w:rPr>
                <w:color w:val="333333"/>
                <w:lang w:val="en-US"/>
              </w:rPr>
            </w:pPr>
            <w:r>
              <w:rPr>
                <w:rStyle w:val="a3"/>
                <w:color w:val="333333"/>
              </w:rPr>
              <w:t>1 кв. 2015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2 кв. 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3 кв. 2015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4 кв. 2015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1 кв. 2016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2 кв. 2016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3 кв. 2016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 4 кв. 2016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1 кв. 2017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2кв.</w:t>
            </w:r>
          </w:p>
          <w:p w:rsidR="0087547A" w:rsidRDefault="0087547A" w:rsidP="00004870">
            <w:pPr>
              <w:jc w:val="center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2017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3 кв.</w:t>
            </w:r>
          </w:p>
          <w:p w:rsidR="0087547A" w:rsidRDefault="0087547A" w:rsidP="00004870">
            <w:pPr>
              <w:jc w:val="center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2017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4 кв.</w:t>
            </w:r>
          </w:p>
          <w:p w:rsidR="0087547A" w:rsidRDefault="0087547A" w:rsidP="00004870">
            <w:pPr>
              <w:jc w:val="center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2017</w:t>
            </w:r>
          </w:p>
        </w:tc>
      </w:tr>
      <w:tr w:rsidR="0087547A" w:rsidTr="00CB79A6">
        <w:trPr>
          <w:trHeight w:val="585"/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Подано заявок на технологическое присоединение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9A6" w:rsidRDefault="00CB79A6" w:rsidP="00004870">
            <w:pPr>
              <w:jc w:val="center"/>
              <w:rPr>
                <w:color w:val="333333"/>
              </w:rPr>
            </w:pPr>
          </w:p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87547A" w:rsidTr="00CB79A6">
        <w:trPr>
          <w:trHeight w:val="585"/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Количество мощности, необходимое для их удовлетворения, кВт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87547A" w:rsidTr="00CB79A6">
        <w:trPr>
          <w:trHeight w:val="585"/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9A46A5" w:rsidP="0000487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Сведени</w:t>
            </w:r>
            <w:r w:rsidR="0087547A">
              <w:rPr>
                <w:color w:val="333333"/>
              </w:rPr>
              <w:t>я о заключенных договорах об осуществлении технологического присоединения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CB79A6" w:rsidRDefault="00CB79A6" w:rsidP="00CB79A6">
            <w:pPr>
              <w:jc w:val="center"/>
              <w:rPr>
                <w:color w:val="333333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87547A" w:rsidTr="00CB79A6">
        <w:trPr>
          <w:trHeight w:val="585"/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Количество аннулированных заявок на технологическое присоединения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87547A" w:rsidTr="00CB79A6">
        <w:trPr>
          <w:trHeight w:val="585"/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47A" w:rsidRDefault="0087547A" w:rsidP="0000487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Количество выполненных присоединений и присоединенной мощности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47A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47A" w:rsidRDefault="0087547A" w:rsidP="00004870">
            <w:pPr>
              <w:jc w:val="center"/>
              <w:rPr>
                <w:color w:val="333333"/>
              </w:rPr>
            </w:pPr>
          </w:p>
          <w:p w:rsidR="00CB79A6" w:rsidRDefault="00CB79A6" w:rsidP="000048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ED38BD" w:rsidRDefault="00ED38BD" w:rsidP="00124742">
      <w:pPr>
        <w:pStyle w:val="a4"/>
        <w:jc w:val="both"/>
        <w:rPr>
          <w:rStyle w:val="a5"/>
        </w:rPr>
      </w:pPr>
    </w:p>
    <w:p w:rsidR="009E3C32" w:rsidRDefault="009E3C32" w:rsidP="00124742">
      <w:pPr>
        <w:pStyle w:val="a4"/>
        <w:jc w:val="both"/>
        <w:rPr>
          <w:rStyle w:val="a5"/>
        </w:rPr>
      </w:pPr>
      <w:r w:rsidRPr="00E61304">
        <w:rPr>
          <w:rStyle w:val="a5"/>
        </w:rPr>
        <w:t>11в(1) – о величине резервируемой максимальной мощности</w:t>
      </w:r>
    </w:p>
    <w:p w:rsidR="002505FA" w:rsidRPr="002505FA" w:rsidRDefault="002505FA" w:rsidP="002505FA">
      <w:pPr>
        <w:spacing w:after="200" w:line="276" w:lineRule="auto"/>
        <w:jc w:val="both"/>
        <w:rPr>
          <w:rFonts w:eastAsiaTheme="minorHAnsi"/>
          <w:lang w:eastAsia="en-US"/>
        </w:rPr>
      </w:pPr>
      <w:r w:rsidRPr="002505FA">
        <w:rPr>
          <w:rFonts w:eastAsiaTheme="minorHAnsi"/>
          <w:b/>
          <w:bCs/>
          <w:color w:val="000000"/>
          <w:lang w:eastAsia="en-US"/>
        </w:rPr>
        <w:t>О величине</w:t>
      </w:r>
      <w:r w:rsidRPr="002505FA">
        <w:rPr>
          <w:rFonts w:eastAsiaTheme="minorHAnsi"/>
          <w:color w:val="000000"/>
          <w:lang w:eastAsia="en-US"/>
        </w:rPr>
        <w:t> 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</w:r>
    </w:p>
    <w:p w:rsidR="002505FA" w:rsidRPr="002505FA" w:rsidRDefault="002505FA" w:rsidP="002505FA">
      <w:pPr>
        <w:spacing w:after="200" w:line="276" w:lineRule="auto"/>
        <w:jc w:val="both"/>
        <w:rPr>
          <w:rFonts w:eastAsiaTheme="minorHAnsi"/>
          <w:lang w:eastAsia="en-US"/>
        </w:rPr>
      </w:pPr>
      <w:r w:rsidRPr="002505FA">
        <w:rPr>
          <w:rFonts w:eastAsiaTheme="minorHAnsi"/>
          <w:lang w:eastAsia="en-US"/>
        </w:rPr>
        <w:t>Резерв максимальной мощности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9"/>
        <w:gridCol w:w="3106"/>
        <w:gridCol w:w="3120"/>
      </w:tblGrid>
      <w:tr w:rsidR="002505FA" w:rsidRPr="002505FA" w:rsidTr="002505FA">
        <w:tc>
          <w:tcPr>
            <w:tcW w:w="3119" w:type="dxa"/>
            <w:tcBorders>
              <w:bottom w:val="single" w:sz="4" w:space="0" w:color="auto"/>
            </w:tcBorders>
          </w:tcPr>
          <w:p w:rsidR="002505FA" w:rsidRPr="002505FA" w:rsidRDefault="002505FA" w:rsidP="002505FA">
            <w:pPr>
              <w:jc w:val="center"/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lastRenderedPageBreak/>
              <w:t>Наименование расчетного периода</w:t>
            </w:r>
          </w:p>
        </w:tc>
        <w:tc>
          <w:tcPr>
            <w:tcW w:w="3106" w:type="dxa"/>
          </w:tcPr>
          <w:p w:rsidR="002505FA" w:rsidRPr="002505FA" w:rsidRDefault="002505FA" w:rsidP="002505FA">
            <w:pPr>
              <w:jc w:val="center"/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120" w:type="dxa"/>
          </w:tcPr>
          <w:p w:rsidR="002505FA" w:rsidRPr="002505FA" w:rsidRDefault="002505FA" w:rsidP="002505FA">
            <w:pPr>
              <w:jc w:val="center"/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Суммарная резервируемая максимальная мощность, Мвт</w:t>
            </w:r>
          </w:p>
        </w:tc>
      </w:tr>
      <w:tr w:rsidR="002505FA" w:rsidRPr="002505FA" w:rsidTr="002505FA">
        <w:tc>
          <w:tcPr>
            <w:tcW w:w="3119" w:type="dxa"/>
            <w:tcBorders>
              <w:bottom w:val="nil"/>
            </w:tcBorders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3120" w:type="dxa"/>
          </w:tcPr>
          <w:p w:rsidR="002505FA" w:rsidRPr="002505FA" w:rsidRDefault="00EA5875" w:rsidP="0025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505FA" w:rsidRPr="002505FA" w:rsidTr="002505FA">
        <w:tc>
          <w:tcPr>
            <w:tcW w:w="3119" w:type="dxa"/>
            <w:tcBorders>
              <w:top w:val="nil"/>
              <w:bottom w:val="nil"/>
            </w:tcBorders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1 квартал 2018 года</w:t>
            </w:r>
          </w:p>
        </w:tc>
        <w:tc>
          <w:tcPr>
            <w:tcW w:w="3106" w:type="dxa"/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3120" w:type="dxa"/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0</w:t>
            </w:r>
          </w:p>
        </w:tc>
      </w:tr>
      <w:tr w:rsidR="002505FA" w:rsidRPr="002505FA" w:rsidTr="002505FA">
        <w:tc>
          <w:tcPr>
            <w:tcW w:w="3119" w:type="dxa"/>
            <w:tcBorders>
              <w:top w:val="nil"/>
              <w:bottom w:val="nil"/>
            </w:tcBorders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3120" w:type="dxa"/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0</w:t>
            </w:r>
          </w:p>
        </w:tc>
      </w:tr>
      <w:tr w:rsidR="002505FA" w:rsidRPr="002505FA" w:rsidTr="002505FA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2505FA" w:rsidRPr="002505FA" w:rsidRDefault="002505FA" w:rsidP="002505FA">
            <w:pPr>
              <w:rPr>
                <w:rFonts w:ascii="Times New Roman" w:hAnsi="Times New Roman" w:cs="Times New Roman"/>
              </w:rPr>
            </w:pPr>
            <w:r w:rsidRPr="002505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3120" w:type="dxa"/>
          </w:tcPr>
          <w:p w:rsidR="002505FA" w:rsidRPr="002505FA" w:rsidRDefault="00EA5875" w:rsidP="0025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  <w:bookmarkStart w:id="1" w:name="_GoBack"/>
            <w:bookmarkEnd w:id="1"/>
          </w:p>
        </w:tc>
      </w:tr>
    </w:tbl>
    <w:p w:rsidR="002505FA" w:rsidRDefault="002505FA" w:rsidP="00124742">
      <w:pPr>
        <w:pStyle w:val="a4"/>
        <w:jc w:val="both"/>
        <w:rPr>
          <w:rStyle w:val="a5"/>
        </w:rPr>
      </w:pPr>
    </w:p>
    <w:p w:rsidR="002E0A77" w:rsidRDefault="009E3C32" w:rsidP="00124742">
      <w:pPr>
        <w:pStyle w:val="a4"/>
        <w:jc w:val="both"/>
        <w:rPr>
          <w:rStyle w:val="a5"/>
        </w:rPr>
      </w:pPr>
      <w:r>
        <w:rPr>
          <w:rStyle w:val="a5"/>
        </w:rPr>
        <w:t>11г – о результатах контрольных замеров электрических параметров режимов работы оборудования объектов электросетевого хозяйства</w:t>
      </w:r>
    </w:p>
    <w:p w:rsidR="0087547A" w:rsidRPr="0087547A" w:rsidRDefault="0087547A" w:rsidP="00124742">
      <w:pPr>
        <w:pStyle w:val="a4"/>
        <w:jc w:val="both"/>
        <w:rPr>
          <w:rStyle w:val="a5"/>
        </w:rPr>
      </w:pPr>
      <w:r w:rsidRPr="0087547A">
        <w:rPr>
          <w:color w:val="333333"/>
          <w:shd w:val="clear" w:color="auto" w:fill="FFFFFF"/>
        </w:rPr>
        <w:t>В соответствии с Постановлением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отсутствует требование об обязательном опубликовании сетевыми организациями информации по пункту 11 «г» на официальном сайте компании. Информация по данному пункту предоставляется соответствующему субъекту оперативно-диспетчерского управления (филиалу АО «СО ЕЭС» РДУ Татарстана) два раза в год.</w:t>
      </w:r>
    </w:p>
    <w:p w:rsidR="009E3C32" w:rsidRPr="00937205" w:rsidRDefault="009E3C32" w:rsidP="00124742">
      <w:pPr>
        <w:pStyle w:val="a4"/>
        <w:jc w:val="both"/>
        <w:rPr>
          <w:rStyle w:val="a6"/>
        </w:rPr>
      </w:pPr>
      <w:r>
        <w:rPr>
          <w:rStyle w:val="a5"/>
        </w:rPr>
        <w:t>11д – об условиях, на которых осуществляется поставка регулируемых товаров (работ, услуг) субъектами естественных монополий</w:t>
      </w:r>
    </w:p>
    <w:p w:rsidR="00F765F7" w:rsidRDefault="002505FA" w:rsidP="00124742">
      <w:pPr>
        <w:pStyle w:val="a4"/>
        <w:jc w:val="both"/>
        <w:rPr>
          <w:color w:val="000000"/>
          <w:sz w:val="28"/>
          <w:szCs w:val="28"/>
        </w:rPr>
      </w:pPr>
      <w:r w:rsidRPr="00004870">
        <w:rPr>
          <w:bCs/>
        </w:rPr>
        <w:t>АО «</w:t>
      </w:r>
      <w:proofErr w:type="spellStart"/>
      <w:r w:rsidRPr="00004870">
        <w:rPr>
          <w:bCs/>
        </w:rPr>
        <w:t>Татнефтепром-Зюзеевнефть</w:t>
      </w:r>
      <w:proofErr w:type="spellEnd"/>
      <w:r w:rsidRPr="00004870">
        <w:rPr>
          <w:bCs/>
        </w:rPr>
        <w:t xml:space="preserve">» </w:t>
      </w:r>
      <w:r w:rsidR="00F765F7" w:rsidRPr="00F765F7">
        <w:rPr>
          <w:color w:val="333333"/>
        </w:rPr>
        <w:t>оказывает услуги по передаче электрической энергии и мощности ОАО «Сетевая компания» по </w:t>
      </w:r>
      <w:r w:rsidR="00F765F7" w:rsidRPr="00F765F7">
        <w:rPr>
          <w:color w:val="045EBA"/>
        </w:rPr>
        <w:t>Договору оказания услуг по передаче электрической энергии</w:t>
      </w:r>
      <w:r w:rsidR="00F765F7" w:rsidRPr="00F765F7">
        <w:rPr>
          <w:color w:val="333333"/>
        </w:rPr>
        <w:t> в соответствии с действующим законодательством. Исполнитель (</w:t>
      </w:r>
      <w:r w:rsidR="00254767" w:rsidRPr="00004870">
        <w:rPr>
          <w:bCs/>
        </w:rPr>
        <w:t>АО «</w:t>
      </w:r>
      <w:proofErr w:type="spellStart"/>
      <w:r w:rsidR="00254767" w:rsidRPr="00004870">
        <w:rPr>
          <w:bCs/>
        </w:rPr>
        <w:t>Татнефтепром-Зюзеевнефть</w:t>
      </w:r>
      <w:proofErr w:type="spellEnd"/>
      <w:r w:rsidR="00254767" w:rsidRPr="00004870">
        <w:rPr>
          <w:bCs/>
        </w:rPr>
        <w:t>»</w:t>
      </w:r>
      <w:r w:rsidR="00F765F7" w:rsidRPr="00F765F7">
        <w:rPr>
          <w:color w:val="333333"/>
        </w:rPr>
        <w:t>) обязуется оказывать услуги по передаче электрической энергии (мощности) от точек приема до точек поставки, указанных в </w:t>
      </w:r>
      <w:r w:rsidR="00F765F7" w:rsidRPr="00F765F7">
        <w:rPr>
          <w:color w:val="045EBA"/>
        </w:rPr>
        <w:t>Приложении №1 и №2</w:t>
      </w:r>
      <w:r w:rsidR="00F765F7" w:rsidRPr="00F765F7">
        <w:rPr>
          <w:color w:val="333333"/>
        </w:rPr>
        <w:t xml:space="preserve"> к </w:t>
      </w:r>
      <w:r>
        <w:rPr>
          <w:color w:val="333333"/>
        </w:rPr>
        <w:t xml:space="preserve">Договору, </w:t>
      </w:r>
      <w:r w:rsidR="00F765F7" w:rsidRPr="00F765F7">
        <w:rPr>
          <w:color w:val="333333"/>
        </w:rPr>
        <w:t>посредством осуществления комплекса организационно и технологически связанных действий, обеспечивающих передачу электрической энергии (мощности) через объекты электросетевого хозяйства Исполнителя, а Заказчик (ОАО «Сетевая компания») обязуется оплачивать эти услуги в порядке и сроки, установленные Договором.</w:t>
      </w:r>
      <w:r w:rsidR="00F765F7" w:rsidRPr="00F765F7">
        <w:rPr>
          <w:color w:val="000000"/>
          <w:sz w:val="28"/>
          <w:szCs w:val="28"/>
        </w:rPr>
        <w:t> </w:t>
      </w:r>
    </w:p>
    <w:p w:rsidR="0035567D" w:rsidRDefault="0035567D" w:rsidP="00124742">
      <w:pPr>
        <w:pStyle w:val="a4"/>
        <w:jc w:val="both"/>
        <w:rPr>
          <w:rStyle w:val="a5"/>
        </w:rPr>
      </w:pPr>
      <w:r w:rsidRPr="0035567D">
        <w:rPr>
          <w:rStyle w:val="a5"/>
        </w:rPr>
        <w:t>11</w:t>
      </w:r>
      <w:r>
        <w:rPr>
          <w:rStyle w:val="a5"/>
        </w:rPr>
        <w:t xml:space="preserve">е – о порядке выполнения технологических, технических и других мероприятий, связанных </w:t>
      </w:r>
      <w:proofErr w:type="gramStart"/>
      <w:r>
        <w:rPr>
          <w:rStyle w:val="a5"/>
        </w:rPr>
        <w:t>с технологическим присоединениям</w:t>
      </w:r>
      <w:proofErr w:type="gramEnd"/>
      <w:r>
        <w:rPr>
          <w:rStyle w:val="a5"/>
        </w:rPr>
        <w:t xml:space="preserve"> к электрическим сетям</w:t>
      </w:r>
    </w:p>
    <w:p w:rsidR="0035567D" w:rsidRDefault="0035567D" w:rsidP="00124742">
      <w:pPr>
        <w:pStyle w:val="a4"/>
        <w:jc w:val="both"/>
        <w:rPr>
          <w:rStyle w:val="a5"/>
        </w:rPr>
      </w:pPr>
      <w:r>
        <w:rPr>
          <w:rStyle w:val="a5"/>
        </w:rPr>
        <w:t>11ж – об инвестиционных программах (о проектах инвестиционных программ)</w:t>
      </w:r>
    </w:p>
    <w:p w:rsidR="00ED38BD" w:rsidRPr="00ED38BD" w:rsidRDefault="002505FA" w:rsidP="00124742">
      <w:pPr>
        <w:pStyle w:val="a4"/>
        <w:jc w:val="both"/>
        <w:rPr>
          <w:rStyle w:val="a5"/>
          <w:color w:val="333333"/>
          <w:u w:val="none"/>
        </w:rPr>
      </w:pPr>
      <w:r w:rsidRPr="00004870">
        <w:rPr>
          <w:bCs/>
        </w:rPr>
        <w:t>АО «</w:t>
      </w:r>
      <w:proofErr w:type="spellStart"/>
      <w:r w:rsidRPr="00004870">
        <w:rPr>
          <w:bCs/>
        </w:rPr>
        <w:t>Татнефтепром-Зюзеевнефть</w:t>
      </w:r>
      <w:proofErr w:type="spellEnd"/>
      <w:r w:rsidRPr="00004870">
        <w:rPr>
          <w:bCs/>
        </w:rPr>
        <w:t xml:space="preserve">» </w:t>
      </w:r>
      <w:r>
        <w:rPr>
          <w:color w:val="000000"/>
        </w:rPr>
        <w:t>не разрабатывало</w:t>
      </w:r>
      <w:r w:rsidR="00ED38BD" w:rsidRPr="000F2EEC">
        <w:rPr>
          <w:color w:val="000000"/>
        </w:rPr>
        <w:t xml:space="preserve"> Инвестиционную программу, касающаяся реконструкции и развития электрических сетей.</w:t>
      </w:r>
    </w:p>
    <w:p w:rsidR="0035567D" w:rsidRDefault="0035567D" w:rsidP="00124742">
      <w:pPr>
        <w:pStyle w:val="a4"/>
        <w:jc w:val="both"/>
        <w:rPr>
          <w:rStyle w:val="a5"/>
        </w:rPr>
      </w:pPr>
      <w:r>
        <w:rPr>
          <w:rStyle w:val="a5"/>
        </w:rPr>
        <w:t>11з – о способах приобретения, стоимости и объемах товаров, необходимых для оказания услуг по передаче электроэнергии</w:t>
      </w:r>
    </w:p>
    <w:p w:rsidR="00233636" w:rsidRPr="00233636" w:rsidRDefault="00233636" w:rsidP="00124742">
      <w:pPr>
        <w:pStyle w:val="a4"/>
        <w:jc w:val="both"/>
        <w:rPr>
          <w:rStyle w:val="a5"/>
          <w:color w:val="333333"/>
          <w:u w:val="none"/>
        </w:rPr>
      </w:pPr>
      <w:r w:rsidRPr="00AF2F62">
        <w:rPr>
          <w:color w:val="333333"/>
        </w:rPr>
        <w:t xml:space="preserve">В 2018 году </w:t>
      </w:r>
      <w:r w:rsidR="002505FA" w:rsidRPr="00004870">
        <w:rPr>
          <w:bCs/>
        </w:rPr>
        <w:t>АО «</w:t>
      </w:r>
      <w:proofErr w:type="spellStart"/>
      <w:r w:rsidR="002505FA" w:rsidRPr="00004870">
        <w:rPr>
          <w:bCs/>
        </w:rPr>
        <w:t>Татнефтепром-Зюзеевнефть</w:t>
      </w:r>
      <w:proofErr w:type="spellEnd"/>
      <w:r w:rsidR="002505FA" w:rsidRPr="00004870">
        <w:rPr>
          <w:bCs/>
        </w:rPr>
        <w:t xml:space="preserve">» </w:t>
      </w:r>
      <w:r w:rsidRPr="00AF2F62">
        <w:rPr>
          <w:color w:val="333333"/>
        </w:rPr>
        <w:t>планирует осуществить закупку товаров и услуг согласно утвержденного</w:t>
      </w:r>
      <w:r w:rsidRPr="00AF2F62">
        <w:rPr>
          <w:rStyle w:val="apple-converted-space"/>
          <w:color w:val="333333"/>
        </w:rPr>
        <w:t> </w:t>
      </w:r>
      <w:r w:rsidRPr="00AF2F62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2505FA">
        <w:t>Положения о закупках</w:t>
      </w:r>
      <w:r>
        <w:rPr>
          <w:color w:val="333333"/>
        </w:rPr>
        <w:t xml:space="preserve">   </w:t>
      </w:r>
      <w:proofErr w:type="gramStart"/>
      <w:r>
        <w:rPr>
          <w:color w:val="333333"/>
        </w:rPr>
        <w:t xml:space="preserve">и </w:t>
      </w:r>
      <w:r w:rsidR="002505FA">
        <w:rPr>
          <w:color w:val="333333"/>
        </w:rPr>
        <w:t xml:space="preserve"> </w:t>
      </w:r>
      <w:r w:rsidRPr="002505FA">
        <w:t>Плана</w:t>
      </w:r>
      <w:proofErr w:type="gramEnd"/>
      <w:r w:rsidRPr="002505FA">
        <w:t xml:space="preserve"> закупок на 2018 год</w:t>
      </w:r>
      <w:r>
        <w:rPr>
          <w:color w:val="333333"/>
        </w:rPr>
        <w:t>.</w:t>
      </w:r>
    </w:p>
    <w:p w:rsidR="0035567D" w:rsidRDefault="0035567D" w:rsidP="00124742">
      <w:pPr>
        <w:pStyle w:val="a4"/>
        <w:jc w:val="both"/>
        <w:rPr>
          <w:rStyle w:val="a5"/>
        </w:rPr>
      </w:pPr>
      <w:r>
        <w:rPr>
          <w:rStyle w:val="a5"/>
        </w:rPr>
        <w:t>11и – о паспортах услуг (процессов) согласно единым стандартам качества обслуживания сетевыми организациями потребителей услуг</w:t>
      </w:r>
    </w:p>
    <w:p w:rsidR="006419A7" w:rsidRDefault="006419A7" w:rsidP="00124742">
      <w:pPr>
        <w:pStyle w:val="a4"/>
        <w:jc w:val="both"/>
        <w:rPr>
          <w:rStyle w:val="a5"/>
        </w:rPr>
      </w:pPr>
      <w:r w:rsidRPr="006419A7">
        <w:rPr>
          <w:color w:val="333333"/>
        </w:rPr>
        <w:t>  </w:t>
      </w:r>
      <w:r w:rsidRPr="006419A7">
        <w:rPr>
          <w:color w:val="045EBA"/>
        </w:rPr>
        <w:t>Паспорта услуг</w:t>
      </w:r>
      <w:r w:rsidRPr="006419A7">
        <w:rPr>
          <w:color w:val="333333"/>
        </w:rPr>
        <w:t> (процессов) согласно единым стандартам качества обслуживания сетевыми организациями потребителей услуг сетевых организаций.</w:t>
      </w:r>
      <w:r w:rsidRPr="006419A7">
        <w:rPr>
          <w:color w:val="000000"/>
          <w:sz w:val="28"/>
          <w:szCs w:val="28"/>
        </w:rPr>
        <w:t> </w:t>
      </w:r>
    </w:p>
    <w:p w:rsidR="0035567D" w:rsidRDefault="0035567D" w:rsidP="00124742">
      <w:pPr>
        <w:pStyle w:val="a4"/>
        <w:jc w:val="both"/>
        <w:rPr>
          <w:rStyle w:val="a5"/>
        </w:rPr>
      </w:pPr>
      <w:r>
        <w:rPr>
          <w:rStyle w:val="a5"/>
        </w:rPr>
        <w:lastRenderedPageBreak/>
        <w:t xml:space="preserve">11к – о лицах, намеревающихся перераспределить максимальную мощность принадлежащих им </w:t>
      </w:r>
      <w:proofErr w:type="spellStart"/>
      <w:r>
        <w:rPr>
          <w:rStyle w:val="a5"/>
        </w:rPr>
        <w:t>энергопринимающих</w:t>
      </w:r>
      <w:proofErr w:type="spellEnd"/>
      <w:r>
        <w:rPr>
          <w:rStyle w:val="a5"/>
        </w:rPr>
        <w:t xml:space="preserve"> устройств в пользу иных лиц</w:t>
      </w:r>
    </w:p>
    <w:p w:rsidR="009A46A5" w:rsidRDefault="009A46A5" w:rsidP="00124742">
      <w:pPr>
        <w:pStyle w:val="a4"/>
        <w:jc w:val="both"/>
        <w:rPr>
          <w:rStyle w:val="a5"/>
        </w:rPr>
      </w:pPr>
      <w:r>
        <w:rPr>
          <w:color w:val="333333"/>
        </w:rPr>
        <w:t xml:space="preserve">Информация в </w:t>
      </w:r>
      <w:proofErr w:type="spellStart"/>
      <w:r>
        <w:rPr>
          <w:color w:val="333333"/>
        </w:rPr>
        <w:t>соответсвии</w:t>
      </w:r>
      <w:proofErr w:type="spellEnd"/>
      <w:r>
        <w:rPr>
          <w:color w:val="333333"/>
        </w:rPr>
        <w:t xml:space="preserve"> с п.11 к) Стандартов о лицах, намеревающихся перераспределить максимальную мощность принадлежащих им </w:t>
      </w:r>
      <w:proofErr w:type="spellStart"/>
      <w:r>
        <w:rPr>
          <w:color w:val="333333"/>
        </w:rPr>
        <w:t>энергопринимающих</w:t>
      </w:r>
      <w:proofErr w:type="spellEnd"/>
      <w:r>
        <w:rPr>
          <w:color w:val="333333"/>
        </w:rPr>
        <w:t xml:space="preserve"> устройств в пользу иных лиц - Лиц, высказавших намеренье перераспределить свою мощность не заявлялось.</w:t>
      </w:r>
    </w:p>
    <w:p w:rsidR="0035567D" w:rsidRDefault="000D3F5E" w:rsidP="00124742">
      <w:pPr>
        <w:pStyle w:val="a4"/>
        <w:jc w:val="both"/>
        <w:rPr>
          <w:rStyle w:val="a5"/>
        </w:rPr>
      </w:pPr>
      <w:r>
        <w:rPr>
          <w:rStyle w:val="a5"/>
        </w:rPr>
        <w:t>11л – о качестве обслуживания потребителей услуг сетевой организации</w:t>
      </w:r>
    </w:p>
    <w:p w:rsidR="00963021" w:rsidRDefault="000D3F5E" w:rsidP="00124742">
      <w:pPr>
        <w:pStyle w:val="a4"/>
        <w:jc w:val="both"/>
        <w:rPr>
          <w:rStyle w:val="a5"/>
        </w:rPr>
      </w:pPr>
      <w:r>
        <w:rPr>
          <w:rStyle w:val="a5"/>
        </w:rPr>
        <w:t>11м – 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</w:t>
      </w:r>
      <w:r w:rsidR="00963021">
        <w:rPr>
          <w:rStyle w:val="a5"/>
        </w:rPr>
        <w:t>зводство электрической энергии (</w:t>
      </w:r>
      <w:r>
        <w:rPr>
          <w:rStyle w:val="a5"/>
        </w:rPr>
        <w:t>мощности)</w:t>
      </w:r>
      <w:r w:rsidR="00963021">
        <w:rPr>
          <w:rStyle w:val="a5"/>
        </w:rPr>
        <w:t xml:space="preserve"> на квалифицированных генерирующих объектах, функционирующих на основе использования возобновляемых источников энергии</w:t>
      </w:r>
    </w:p>
    <w:p w:rsidR="009A46A5" w:rsidRPr="00950D87" w:rsidRDefault="00950D87" w:rsidP="00124742">
      <w:pPr>
        <w:pStyle w:val="a4"/>
        <w:jc w:val="both"/>
        <w:rPr>
          <w:rStyle w:val="a5"/>
          <w:color w:val="auto"/>
          <w:u w:val="none"/>
        </w:rPr>
      </w:pPr>
      <w:r>
        <w:t>Информация 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- данного вида расходов в 2017 году не понесено.</w:t>
      </w:r>
    </w:p>
    <w:p w:rsidR="000D3F5E" w:rsidRPr="0035567D" w:rsidRDefault="00963021" w:rsidP="00124742">
      <w:pPr>
        <w:pStyle w:val="a4"/>
        <w:jc w:val="both"/>
        <w:rPr>
          <w:color w:val="333333"/>
        </w:rPr>
      </w:pPr>
      <w:r>
        <w:rPr>
          <w:rStyle w:val="a5"/>
        </w:rPr>
        <w:t>11н – о выделенных оператором подвижной радиотелефонной связи абонентских номерах и (или) об адресах электронной почты для направления потребителю уведомления о введении полного и (или) частичного ограничения режима потребления электрической энергии</w:t>
      </w:r>
      <w:r w:rsidR="000D3F5E">
        <w:rPr>
          <w:color w:val="333333"/>
        </w:rPr>
        <w:t> </w:t>
      </w:r>
    </w:p>
    <w:p w:rsidR="00A811C0" w:rsidRPr="00F765F7" w:rsidRDefault="00233636" w:rsidP="00F765F7">
      <w:pPr>
        <w:widowControl w:val="0"/>
        <w:autoSpaceDE w:val="0"/>
        <w:autoSpaceDN w:val="0"/>
        <w:adjustRightInd w:val="0"/>
        <w:spacing w:before="40"/>
        <w:ind w:firstLine="709"/>
        <w:jc w:val="both"/>
        <w:rPr>
          <w:color w:val="000000"/>
        </w:rPr>
      </w:pPr>
      <w:r w:rsidRPr="00233636">
        <w:rPr>
          <w:color w:val="000000"/>
        </w:rPr>
        <w:t xml:space="preserve">Информация в соответствии с п. 11 н). Уведомление потребителей о введении полного и (или) частичного ограничения режима потребления электрической энергии могут направляться </w:t>
      </w:r>
      <w:r w:rsidR="00E14B94" w:rsidRPr="00004870">
        <w:rPr>
          <w:bCs/>
        </w:rPr>
        <w:t>АО «</w:t>
      </w:r>
      <w:proofErr w:type="spellStart"/>
      <w:r w:rsidR="00E14B94" w:rsidRPr="00004870">
        <w:rPr>
          <w:bCs/>
        </w:rPr>
        <w:t>Татнефтепром-Зюзеевнефть</w:t>
      </w:r>
      <w:proofErr w:type="spellEnd"/>
      <w:r w:rsidR="00E14B94" w:rsidRPr="00004870">
        <w:rPr>
          <w:bCs/>
        </w:rPr>
        <w:t xml:space="preserve">» </w:t>
      </w:r>
      <w:r w:rsidR="00E14B94">
        <w:rPr>
          <w:color w:val="000000"/>
        </w:rPr>
        <w:t>сообщениями с номера</w:t>
      </w:r>
      <w:r w:rsidRPr="00233636">
        <w:rPr>
          <w:color w:val="000000"/>
        </w:rPr>
        <w:t xml:space="preserve"> </w:t>
      </w:r>
      <w:r w:rsidR="00E14B94">
        <w:rPr>
          <w:color w:val="000000"/>
        </w:rPr>
        <w:t>8</w:t>
      </w:r>
      <w:r>
        <w:rPr>
          <w:color w:val="000000"/>
        </w:rPr>
        <w:t>(843</w:t>
      </w:r>
      <w:r w:rsidR="00E14B94">
        <w:rPr>
          <w:color w:val="000000"/>
        </w:rPr>
        <w:t>45</w:t>
      </w:r>
      <w:r>
        <w:rPr>
          <w:color w:val="000000"/>
        </w:rPr>
        <w:t>)</w:t>
      </w:r>
      <w:r w:rsidR="00E14B94">
        <w:rPr>
          <w:color w:val="000000"/>
        </w:rPr>
        <w:t xml:space="preserve"> 97-610 диспетчерская служба, и</w:t>
      </w:r>
      <w:r w:rsidRPr="00233636">
        <w:rPr>
          <w:color w:val="000000"/>
        </w:rPr>
        <w:t xml:space="preserve"> (или) сообщениями с электронного адреса</w:t>
      </w:r>
      <w:r w:rsidRPr="00233636">
        <w:rPr>
          <w:rFonts w:ascii="Arial" w:hAnsi="Arial" w:cs="Arial"/>
          <w:b/>
          <w:bCs/>
          <w:color w:val="24135A"/>
        </w:rPr>
        <w:t> </w:t>
      </w:r>
      <w:proofErr w:type="spellStart"/>
      <w:r w:rsidR="00E14B94" w:rsidRPr="00E14B94">
        <w:rPr>
          <w:color w:val="045EBA"/>
          <w:lang w:val="en-US"/>
        </w:rPr>
        <w:t>zuzeev</w:t>
      </w:r>
      <w:proofErr w:type="spellEnd"/>
      <w:r w:rsidR="00E14B94" w:rsidRPr="00E14B94">
        <w:rPr>
          <w:color w:val="045EBA"/>
        </w:rPr>
        <w:t>@</w:t>
      </w:r>
      <w:proofErr w:type="spellStart"/>
      <w:r w:rsidR="00E14B94" w:rsidRPr="00E14B94">
        <w:rPr>
          <w:color w:val="045EBA"/>
        </w:rPr>
        <w:t>gmail</w:t>
      </w:r>
      <w:proofErr w:type="spellEnd"/>
      <w:r w:rsidR="00E14B94">
        <w:rPr>
          <w:color w:val="045EBA"/>
        </w:rPr>
        <w:t>.</w:t>
      </w:r>
      <w:r w:rsidR="00E14B94">
        <w:rPr>
          <w:color w:val="045EBA"/>
          <w:lang w:val="en-US"/>
        </w:rPr>
        <w:t>com</w:t>
      </w:r>
      <w:r w:rsidR="00B7656B" w:rsidRPr="00233636">
        <w:rPr>
          <w:b/>
          <w:bCs/>
        </w:rPr>
        <w:t xml:space="preserve"> </w:t>
      </w:r>
    </w:p>
    <w:p w:rsidR="006419A7" w:rsidRPr="00E14B94" w:rsidRDefault="00EA5875" w:rsidP="00E14B94">
      <w:pPr>
        <w:pStyle w:val="a4"/>
        <w:ind w:firstLine="567"/>
        <w:jc w:val="both"/>
        <w:rPr>
          <w:rStyle w:val="a3"/>
          <w:b w:val="0"/>
          <w:bCs w:val="0"/>
          <w:color w:val="333333"/>
        </w:rPr>
      </w:pPr>
      <w:hyperlink r:id="rId13" w:history="1">
        <w:r w:rsidR="002B7496" w:rsidRPr="002B7496">
          <w:rPr>
            <w:rStyle w:val="a5"/>
          </w:rPr>
          <w:t>Программа энергосбережения 2017-2019гг.</w:t>
        </w:r>
      </w:hyperlink>
    </w:p>
    <w:p w:rsidR="00124742" w:rsidRDefault="00124742" w:rsidP="0072405E">
      <w:pPr>
        <w:pStyle w:val="a4"/>
        <w:rPr>
          <w:color w:val="333333"/>
        </w:rPr>
      </w:pPr>
      <w:r>
        <w:rPr>
          <w:rStyle w:val="a3"/>
          <w:color w:val="333333"/>
        </w:rPr>
        <w:t>Нормативно-правовыми актами, регулирующими условия договора оказания услуг</w:t>
      </w:r>
      <w:r w:rsidR="0072405E">
        <w:rPr>
          <w:rStyle w:val="a3"/>
          <w:color w:val="333333"/>
        </w:rPr>
        <w:t xml:space="preserve"> по передаче электрической энергии</w:t>
      </w:r>
      <w:r>
        <w:rPr>
          <w:rStyle w:val="a3"/>
          <w:color w:val="333333"/>
        </w:rPr>
        <w:t>:</w:t>
      </w:r>
      <w:r>
        <w:rPr>
          <w:b/>
          <w:bCs/>
          <w:color w:val="333333"/>
        </w:rPr>
        <w:br/>
      </w:r>
      <w:r>
        <w:rPr>
          <w:color w:val="333333"/>
        </w:rPr>
        <w:t>- Постановление Правительства РФ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энергии». Источником официального опубликования данных документов является «Российская газета» от 01.09.2006 №194;</w:t>
      </w:r>
      <w:r>
        <w:rPr>
          <w:color w:val="333333"/>
        </w:rPr>
        <w:br/>
        <w:t>- Собрание законодательства Российской Федерации от 04.06.2</w:t>
      </w:r>
      <w:r w:rsidR="00810EDA">
        <w:rPr>
          <w:color w:val="333333"/>
        </w:rPr>
        <w:t xml:space="preserve">012, №23, ст.3008 (издательство </w:t>
      </w:r>
      <w:r>
        <w:rPr>
          <w:color w:val="333333"/>
        </w:rPr>
        <w:t>«Юридическая литература»).</w:t>
      </w:r>
      <w:r>
        <w:rPr>
          <w:color w:val="333333"/>
        </w:rPr>
        <w:br/>
        <w:t>- Постановлением Правительства РФ от 27.12.2004 №861. Источником официального опубликования вышеуказанного Постановления являются издания:</w:t>
      </w:r>
      <w:r>
        <w:rPr>
          <w:color w:val="333333"/>
        </w:rPr>
        <w:br/>
        <w:t>- "Собрание законодательства РФ", 27.12.2004, N 52 (часть 2), ст. 5525; - "Российская газета"  за 19.01.2005 N 7.</w:t>
      </w:r>
    </w:p>
    <w:p w:rsidR="00124742" w:rsidRDefault="00124742" w:rsidP="00124742">
      <w:pPr>
        <w:pStyle w:val="a4"/>
        <w:jc w:val="both"/>
        <w:rPr>
          <w:color w:val="333333"/>
        </w:rPr>
      </w:pPr>
      <w:r>
        <w:rPr>
          <w:color w:val="333333"/>
        </w:rPr>
        <w:t xml:space="preserve">Нормативными документами, определяющие стоимость договоров технологического присоединения являются Постановлением Правительства РФ от 27.12.2004 №861. </w:t>
      </w:r>
      <w:r>
        <w:rPr>
          <w:color w:val="333333"/>
        </w:rPr>
        <w:lastRenderedPageBreak/>
        <w:t>Источником официального опубликования вышеуказанного Постановления являются издания:</w:t>
      </w:r>
      <w:r>
        <w:rPr>
          <w:color w:val="333333"/>
        </w:rPr>
        <w:br/>
        <w:t>- "Собрание законодательства РФ", 27.12.2004, N 52 (часть 2), ст. 5525.; - "Российская газета"  за 19.01.2005 N 7.</w:t>
      </w:r>
    </w:p>
    <w:p w:rsidR="00124742" w:rsidRDefault="00124742" w:rsidP="00124742">
      <w:pPr>
        <w:pStyle w:val="a4"/>
        <w:jc w:val="both"/>
        <w:rPr>
          <w:color w:val="333333"/>
        </w:rPr>
      </w:pPr>
      <w:r>
        <w:rPr>
          <w:color w:val="333333"/>
        </w:rPr>
        <w:t xml:space="preserve">Нормативно-правовым актом, регулирующим условия договора об осуществлении технологического присоединения, являются «Правила технологического присоединения </w:t>
      </w:r>
      <w:proofErr w:type="spellStart"/>
      <w:r>
        <w:rPr>
          <w:color w:val="333333"/>
        </w:rPr>
        <w:t>энергопринимающих</w:t>
      </w:r>
      <w:proofErr w:type="spellEnd"/>
      <w:r>
        <w:rPr>
          <w:color w:val="333333"/>
        </w:rPr>
        <w:t xml:space="preserve"> устройств потребителей к электрическим </w:t>
      </w:r>
      <w:r w:rsidR="0012463B">
        <w:rPr>
          <w:color w:val="333333"/>
        </w:rPr>
        <w:t>сетям</w:t>
      </w:r>
      <w:r>
        <w:rPr>
          <w:color w:val="333333"/>
        </w:rPr>
        <w:t>.», утвержденные Постановлением Правительства РФ от 27.12.2004 №861. Источником официального опубликования вышеуказанного Постановления являются издания:</w:t>
      </w:r>
      <w:r>
        <w:rPr>
          <w:color w:val="333333"/>
        </w:rPr>
        <w:br/>
        <w:t>- "Собрание законодательства РФ", 27.12.2004, N 52 (часть 2), ст. 5525; - "Российская газета"  за 19.01.2005 N 7.</w:t>
      </w:r>
    </w:p>
    <w:p w:rsidR="00843630" w:rsidRPr="008B5F7E" w:rsidRDefault="00843630"/>
    <w:sectPr w:rsidR="00843630" w:rsidRPr="008B5F7E" w:rsidSect="009372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2"/>
    <w:rsid w:val="00004870"/>
    <w:rsid w:val="000067DD"/>
    <w:rsid w:val="00017BD4"/>
    <w:rsid w:val="000315C8"/>
    <w:rsid w:val="000666A1"/>
    <w:rsid w:val="000C2FBD"/>
    <w:rsid w:val="000D3F5E"/>
    <w:rsid w:val="000E07F2"/>
    <w:rsid w:val="000F2EEC"/>
    <w:rsid w:val="0011288E"/>
    <w:rsid w:val="0012463B"/>
    <w:rsid w:val="00124742"/>
    <w:rsid w:val="001438D9"/>
    <w:rsid w:val="00184038"/>
    <w:rsid w:val="001A4FA8"/>
    <w:rsid w:val="00233636"/>
    <w:rsid w:val="00247AEB"/>
    <w:rsid w:val="002505FA"/>
    <w:rsid w:val="00254767"/>
    <w:rsid w:val="002B7496"/>
    <w:rsid w:val="002D5DC0"/>
    <w:rsid w:val="002E0A77"/>
    <w:rsid w:val="00305D6A"/>
    <w:rsid w:val="0035567D"/>
    <w:rsid w:val="00361038"/>
    <w:rsid w:val="00361EFB"/>
    <w:rsid w:val="003704CC"/>
    <w:rsid w:val="003744F1"/>
    <w:rsid w:val="00374835"/>
    <w:rsid w:val="003929EB"/>
    <w:rsid w:val="003D1758"/>
    <w:rsid w:val="003F5875"/>
    <w:rsid w:val="003F7F7F"/>
    <w:rsid w:val="004277D7"/>
    <w:rsid w:val="00461F45"/>
    <w:rsid w:val="00470E59"/>
    <w:rsid w:val="00474909"/>
    <w:rsid w:val="004759CD"/>
    <w:rsid w:val="0048014F"/>
    <w:rsid w:val="00487477"/>
    <w:rsid w:val="004A3AC4"/>
    <w:rsid w:val="0052490B"/>
    <w:rsid w:val="00592B0A"/>
    <w:rsid w:val="005A7A8F"/>
    <w:rsid w:val="006116F4"/>
    <w:rsid w:val="006129CF"/>
    <w:rsid w:val="006223E6"/>
    <w:rsid w:val="006419A7"/>
    <w:rsid w:val="00695ACD"/>
    <w:rsid w:val="006D1AA8"/>
    <w:rsid w:val="00705556"/>
    <w:rsid w:val="0072405E"/>
    <w:rsid w:val="0074153A"/>
    <w:rsid w:val="007478CD"/>
    <w:rsid w:val="00752850"/>
    <w:rsid w:val="0077154D"/>
    <w:rsid w:val="00792CD1"/>
    <w:rsid w:val="007C36A5"/>
    <w:rsid w:val="00810EDA"/>
    <w:rsid w:val="00843630"/>
    <w:rsid w:val="0085040F"/>
    <w:rsid w:val="0086499E"/>
    <w:rsid w:val="0087547A"/>
    <w:rsid w:val="008A6947"/>
    <w:rsid w:val="008B5F7E"/>
    <w:rsid w:val="008E0E32"/>
    <w:rsid w:val="008F452B"/>
    <w:rsid w:val="009111EA"/>
    <w:rsid w:val="00937205"/>
    <w:rsid w:val="00950D87"/>
    <w:rsid w:val="00963021"/>
    <w:rsid w:val="0096739C"/>
    <w:rsid w:val="00996DF1"/>
    <w:rsid w:val="009A46A5"/>
    <w:rsid w:val="009B2DCD"/>
    <w:rsid w:val="009B4724"/>
    <w:rsid w:val="009D4BCE"/>
    <w:rsid w:val="009E3934"/>
    <w:rsid w:val="009E3C32"/>
    <w:rsid w:val="009E466D"/>
    <w:rsid w:val="009F1CC1"/>
    <w:rsid w:val="009F3E36"/>
    <w:rsid w:val="00A005CC"/>
    <w:rsid w:val="00A22490"/>
    <w:rsid w:val="00A5734B"/>
    <w:rsid w:val="00A811C0"/>
    <w:rsid w:val="00A828F8"/>
    <w:rsid w:val="00AA312C"/>
    <w:rsid w:val="00AB2710"/>
    <w:rsid w:val="00AB2AFC"/>
    <w:rsid w:val="00AF2F62"/>
    <w:rsid w:val="00AF6FA1"/>
    <w:rsid w:val="00B43BAB"/>
    <w:rsid w:val="00B5447F"/>
    <w:rsid w:val="00B7656B"/>
    <w:rsid w:val="00BF66BF"/>
    <w:rsid w:val="00C76EB0"/>
    <w:rsid w:val="00CB79A6"/>
    <w:rsid w:val="00CD181D"/>
    <w:rsid w:val="00CF009B"/>
    <w:rsid w:val="00D3629E"/>
    <w:rsid w:val="00D37521"/>
    <w:rsid w:val="00D472BF"/>
    <w:rsid w:val="00D502F1"/>
    <w:rsid w:val="00D66D2F"/>
    <w:rsid w:val="00D66E2C"/>
    <w:rsid w:val="00D74455"/>
    <w:rsid w:val="00D77E7F"/>
    <w:rsid w:val="00D909BE"/>
    <w:rsid w:val="00DE20EE"/>
    <w:rsid w:val="00DE784C"/>
    <w:rsid w:val="00DF5F9F"/>
    <w:rsid w:val="00E14B94"/>
    <w:rsid w:val="00E212CF"/>
    <w:rsid w:val="00E22DDE"/>
    <w:rsid w:val="00E449F3"/>
    <w:rsid w:val="00E520C9"/>
    <w:rsid w:val="00E61304"/>
    <w:rsid w:val="00EA5875"/>
    <w:rsid w:val="00ED38BD"/>
    <w:rsid w:val="00F1625E"/>
    <w:rsid w:val="00F765F7"/>
    <w:rsid w:val="00F91623"/>
    <w:rsid w:val="00F96C62"/>
    <w:rsid w:val="00FB7611"/>
    <w:rsid w:val="00FD146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6EDE8F-5729-46FB-9C4D-3117975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  <w:style w:type="character" w:customStyle="1" w:styleId="SUBST">
    <w:name w:val="__SUBST"/>
    <w:uiPriority w:val="99"/>
    <w:rsid w:val="004A3AC4"/>
    <w:rPr>
      <w:b/>
      <w:bCs w:val="0"/>
      <w:i/>
      <w:iCs w:val="0"/>
      <w:sz w:val="22"/>
    </w:rPr>
  </w:style>
  <w:style w:type="table" w:styleId="af0">
    <w:name w:val="Table Grid"/>
    <w:basedOn w:val="a1"/>
    <w:uiPriority w:val="59"/>
    <w:rsid w:val="000048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8A69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2505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" TargetMode="External"/><Relationship Id="rId13" Type="http://schemas.openxmlformats.org/officeDocument/2006/relationships/hyperlink" Target="http://zuzeevneft.tatar/data/documents/Programma-energosberezheniya-i-povysheniya-energeticheskoy-effektivnosti-AO-Tatnefteprom-Zyuzeevneft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t.tatarstan.ru/rus/standartizirovannie-tarifnie-stavki-dlya-rascheta-2433657.htm" TargetMode="External"/><Relationship Id="rId12" Type="http://schemas.openxmlformats.org/officeDocument/2006/relationships/hyperlink" Target="http://kt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.tatarstan.ru/" TargetMode="External"/><Relationship Id="rId11" Type="http://schemas.openxmlformats.org/officeDocument/2006/relationships/hyperlink" Target="http://kt.tatarstan.ru/rus/standartizirovannie-tarifnie-stavki-dlya-rascheta-2433657.htm" TargetMode="External"/><Relationship Id="rId5" Type="http://schemas.openxmlformats.org/officeDocument/2006/relationships/hyperlink" Target="http://kt.tatarstan.ru/rus/file/pub/pub_121393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t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t.tatarstan.ru/rus/file/pub/pub_121393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Слава</cp:lastModifiedBy>
  <cp:revision>29</cp:revision>
  <cp:lastPrinted>2017-02-20T07:50:00Z</cp:lastPrinted>
  <dcterms:created xsi:type="dcterms:W3CDTF">2018-01-18T12:11:00Z</dcterms:created>
  <dcterms:modified xsi:type="dcterms:W3CDTF">2018-02-01T08:17:00Z</dcterms:modified>
</cp:coreProperties>
</file>